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b/>
          <w:bCs/>
          <w:color w:val="auto"/>
          <w:sz w:val="28"/>
          <w:szCs w:val="36"/>
          <w:lang w:val="en-US" w:eastAsia="zh-CN"/>
        </w:rPr>
      </w:pPr>
      <w:bookmarkStart w:id="0" w:name="_GoBack"/>
      <w:r>
        <w:rPr>
          <w:rFonts w:hint="eastAsia"/>
          <w:b/>
          <w:bCs/>
          <w:color w:val="auto"/>
          <w:sz w:val="28"/>
          <w:szCs w:val="36"/>
          <w:lang w:val="en-US" w:eastAsia="zh-CN"/>
        </w:rPr>
        <w:t>附件二：评审方法及评分标准</w:t>
      </w:r>
    </w:p>
    <w:bookmarkEnd w:id="0"/>
    <w:p>
      <w:pPr>
        <w:spacing w:line="360" w:lineRule="auto"/>
        <w:ind w:left="0" w:leftChars="0" w:firstLine="638" w:firstLineChars="266"/>
        <w:rPr>
          <w:rFonts w:hint="eastAsia"/>
          <w:sz w:val="24"/>
          <w:szCs w:val="32"/>
          <w:lang w:val="en-US" w:eastAsia="zh-CN"/>
        </w:rPr>
      </w:pPr>
      <w:r>
        <w:rPr>
          <w:rFonts w:hint="eastAsia"/>
          <w:sz w:val="24"/>
          <w:szCs w:val="32"/>
          <w:lang w:val="en-US" w:eastAsia="zh-CN"/>
        </w:rPr>
        <w:t>一、评分标准</w:t>
      </w:r>
    </w:p>
    <w:p>
      <w:pPr>
        <w:spacing w:line="360" w:lineRule="auto"/>
        <w:ind w:left="0" w:leftChars="0" w:firstLine="638" w:firstLineChars="266"/>
        <w:rPr>
          <w:rFonts w:hint="eastAsia"/>
          <w:sz w:val="28"/>
          <w:szCs w:val="36"/>
          <w:lang w:val="en-US" w:eastAsia="zh-CN"/>
        </w:rPr>
      </w:pPr>
      <w:r>
        <w:rPr>
          <w:rFonts w:hint="eastAsia"/>
          <w:sz w:val="24"/>
          <w:szCs w:val="32"/>
          <w:lang w:val="en-US" w:eastAsia="zh-CN"/>
        </w:rPr>
        <w:t>评分依据：评审小组对供应商的报价、技术、商务等方面内容按百分制打分。（计分方法按四舍五入取至百分位）</w:t>
      </w:r>
    </w:p>
    <w:tbl>
      <w:tblPr>
        <w:tblStyle w:val="2"/>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7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b/>
                <w:bCs/>
                <w:sz w:val="24"/>
                <w:szCs w:val="32"/>
                <w:lang w:val="en-US" w:eastAsia="zh-CN"/>
              </w:rPr>
            </w:pPr>
            <w:r>
              <w:rPr>
                <w:rFonts w:hint="eastAsia"/>
                <w:b/>
                <w:bCs/>
                <w:sz w:val="24"/>
                <w:szCs w:val="32"/>
                <w:lang w:val="en-US" w:eastAsia="zh-CN"/>
              </w:rPr>
              <w:t>评分因素</w:t>
            </w:r>
          </w:p>
        </w:tc>
        <w:tc>
          <w:tcPr>
            <w:tcW w:w="73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b/>
                <w:bCs/>
                <w:sz w:val="24"/>
                <w:szCs w:val="32"/>
                <w:lang w:val="en-US" w:eastAsia="zh-CN"/>
              </w:rPr>
            </w:pPr>
            <w:r>
              <w:rPr>
                <w:rFonts w:hint="eastAsia"/>
                <w:b/>
                <w:bCs/>
                <w:sz w:val="24"/>
                <w:szCs w:val="32"/>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1.价格（30分）</w:t>
            </w:r>
          </w:p>
        </w:tc>
        <w:tc>
          <w:tcPr>
            <w:tcW w:w="73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以进入综合评分环节的最低的评标报价为基准价，基准价报价得分为满分。</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baseline"/>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（2）价格分计算公式：</w:t>
            </w:r>
          </w:p>
          <w:p>
            <w:pPr>
              <w:keepNext w:val="0"/>
              <w:keepLines w:val="0"/>
              <w:pageBreakBefore w:val="0"/>
              <w:widowControl w:val="0"/>
              <w:kinsoku/>
              <w:wordWrap/>
              <w:overflowPunct/>
              <w:topLinePunct w:val="0"/>
              <w:autoSpaceDE/>
              <w:autoSpaceDN/>
              <w:bidi w:val="0"/>
              <w:adjustRightInd/>
              <w:spacing w:line="400" w:lineRule="exact"/>
              <w:rPr>
                <w:rFonts w:hint="eastAsia" w:ascii="宋体" w:hAnsi="宋体" w:eastAsia="宋体" w:cs="宋体"/>
                <w:sz w:val="24"/>
                <w:szCs w:val="24"/>
                <w:lang w:val="en-US" w:eastAsia="zh-CN"/>
              </w:rPr>
            </w:pPr>
            <w:r>
              <w:rPr>
                <w:rFonts w:hint="eastAsia" w:ascii="宋体" w:hAnsi="宋体" w:eastAsia="宋体" w:cs="宋体"/>
                <w:bCs/>
                <w:color w:val="000000" w:themeColor="text1"/>
                <w:sz w:val="24"/>
                <w:szCs w:val="24"/>
                <w14:textFill>
                  <w14:solidFill>
                    <w14:schemeClr w14:val="tx1"/>
                  </w14:solidFill>
                </w14:textFill>
              </w:rPr>
              <w:t>某供应商价格分=基准价/某供应商评标报价×30分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2.设备性能分（15分）</w:t>
            </w:r>
          </w:p>
        </w:tc>
        <w:tc>
          <w:tcPr>
            <w:tcW w:w="73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（1）基本分（满分8分）：所有竞标货物的参数及功能完全满足</w:t>
            </w:r>
            <w:r>
              <w:rPr>
                <w:rFonts w:hint="eastAsia" w:ascii="宋体" w:hAnsi="宋体" w:eastAsia="宋体" w:cs="宋体"/>
                <w:color w:val="auto"/>
                <w:sz w:val="24"/>
                <w:szCs w:val="24"/>
              </w:rPr>
              <w:t>磋商文件要求</w:t>
            </w:r>
            <w:r>
              <w:rPr>
                <w:rFonts w:hint="eastAsia" w:ascii="宋体" w:hAnsi="宋体" w:eastAsia="宋体" w:cs="宋体"/>
                <w:color w:val="000000" w:themeColor="text1"/>
                <w:sz w:val="24"/>
                <w:szCs w:val="24"/>
                <w14:textFill>
                  <w14:solidFill>
                    <w14:schemeClr w14:val="tx1"/>
                  </w14:solidFill>
                </w14:textFill>
              </w:rPr>
              <w:t>得基本分8分，每有</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项非标“▲”的技术指标或要求发生负偏离</w:t>
            </w:r>
            <w:r>
              <w:rPr>
                <w:rFonts w:hint="eastAsia" w:ascii="宋体" w:hAnsi="宋体" w:eastAsia="宋体" w:cs="宋体"/>
                <w:sz w:val="24"/>
                <w:szCs w:val="24"/>
              </w:rPr>
              <w:t>或漏项的</w:t>
            </w:r>
            <w:r>
              <w:rPr>
                <w:rFonts w:hint="eastAsia" w:ascii="宋体" w:hAnsi="宋体" w:eastAsia="宋体" w:cs="宋体"/>
                <w:color w:val="000000" w:themeColor="text1"/>
                <w:sz w:val="24"/>
                <w:szCs w:val="24"/>
                <w14:textFill>
                  <w14:solidFill>
                    <w14:schemeClr w14:val="tx1"/>
                  </w14:solidFill>
                </w14:textFill>
              </w:rPr>
              <w:t>扣</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分，最多扣完本项分值。</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（2）在所有竞标货物的</w:t>
            </w:r>
            <w:r>
              <w:rPr>
                <w:rFonts w:hint="eastAsia" w:ascii="宋体" w:hAnsi="宋体" w:eastAsia="宋体" w:cs="宋体"/>
                <w:color w:val="000000" w:themeColor="text1"/>
                <w:sz w:val="24"/>
                <w:szCs w:val="24"/>
                <w:lang w:val="en-US" w:eastAsia="zh-CN"/>
                <w14:textFill>
                  <w14:solidFill>
                    <w14:schemeClr w14:val="tx1"/>
                  </w14:solidFill>
                </w14:textFill>
              </w:rPr>
              <w:t>实质性</w:t>
            </w:r>
            <w:r>
              <w:rPr>
                <w:rFonts w:hint="eastAsia" w:ascii="宋体" w:hAnsi="宋体" w:eastAsia="宋体" w:cs="宋体"/>
                <w:color w:val="000000" w:themeColor="text1"/>
                <w:sz w:val="24"/>
                <w:szCs w:val="24"/>
                <w14:textFill>
                  <w14:solidFill>
                    <w14:schemeClr w14:val="tx1"/>
                  </w14:solidFill>
                </w14:textFill>
              </w:rPr>
              <w:t>参数及功能均完全满足磋商文件要求的前提下，竞标产品的技术参数或技术指标</w:t>
            </w:r>
            <w:r>
              <w:rPr>
                <w:rFonts w:hint="eastAsia" w:ascii="宋体" w:hAnsi="宋体" w:eastAsia="宋体" w:cs="宋体"/>
                <w:color w:val="auto"/>
                <w:sz w:val="24"/>
                <w:szCs w:val="24"/>
              </w:rPr>
              <w:t>有优于</w:t>
            </w:r>
            <w:r>
              <w:rPr>
                <w:rFonts w:hint="eastAsia" w:ascii="宋体" w:hAnsi="宋体" w:eastAsia="宋体" w:cs="宋体"/>
                <w:color w:val="auto"/>
                <w:sz w:val="24"/>
                <w:szCs w:val="24"/>
                <w:lang w:val="en-US" w:eastAsia="zh-CN"/>
              </w:rPr>
              <w:t>实质性参数</w:t>
            </w:r>
            <w:r>
              <w:rPr>
                <w:rFonts w:hint="eastAsia" w:ascii="宋体" w:hAnsi="宋体" w:eastAsia="宋体" w:cs="宋体"/>
                <w:color w:val="000000" w:themeColor="text1"/>
                <w:sz w:val="24"/>
                <w:szCs w:val="24"/>
                <w:lang w:val="en-US" w:eastAsia="zh-CN"/>
                <w14:textFill>
                  <w14:solidFill>
                    <w14:schemeClr w14:val="tx1"/>
                  </w14:solidFill>
                </w14:textFill>
              </w:rPr>
              <w:t>的</w:t>
            </w:r>
            <w:r>
              <w:rPr>
                <w:rFonts w:hint="eastAsia" w:ascii="宋体" w:hAnsi="宋体" w:eastAsia="宋体" w:cs="宋体"/>
                <w:color w:val="000000" w:themeColor="text1"/>
                <w:sz w:val="24"/>
                <w:szCs w:val="24"/>
                <w14:textFill>
                  <w14:solidFill>
                    <w14:schemeClr w14:val="tx1"/>
                  </w14:solidFill>
                </w14:textFill>
              </w:rPr>
              <w:t>磋商文件要求且评审时被磋商小组接受的，每优于一项得</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分。（满分</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pacing w:line="400" w:lineRule="exact"/>
              <w:ind w:left="0" w:leftChars="0" w:firstLine="422" w:firstLineChars="175"/>
              <w:rPr>
                <w:rFonts w:hint="eastAsia" w:ascii="宋体" w:hAnsi="宋体" w:eastAsia="宋体" w:cs="宋体"/>
                <w:sz w:val="24"/>
                <w:szCs w:val="24"/>
                <w:lang w:val="en-US" w:eastAsia="zh-CN"/>
              </w:rPr>
            </w:pPr>
            <w:r>
              <w:rPr>
                <w:rFonts w:hint="eastAsia" w:ascii="宋体" w:hAnsi="宋体" w:eastAsia="宋体" w:cs="宋体"/>
                <w:b/>
                <w:color w:val="000000" w:themeColor="text1"/>
                <w:sz w:val="24"/>
                <w:szCs w:val="24"/>
                <w14:textFill>
                  <w14:solidFill>
                    <w14:schemeClr w14:val="tx1"/>
                  </w14:solidFill>
                </w14:textFill>
              </w:rPr>
              <w:t>说明：有一项标“▲”的技术指标或要求发生负偏离，或者非标“▲”的技术指标或要求发生负偏离总数达</w:t>
            </w:r>
            <w:r>
              <w:rPr>
                <w:rFonts w:hint="eastAsia" w:ascii="宋体" w:hAnsi="宋体" w:eastAsia="宋体" w:cs="宋体"/>
                <w:b/>
                <w:color w:val="000000" w:themeColor="text1"/>
                <w:sz w:val="24"/>
                <w:szCs w:val="24"/>
                <w:lang w:val="en-US" w:eastAsia="zh-CN"/>
                <w14:textFill>
                  <w14:solidFill>
                    <w14:schemeClr w14:val="tx1"/>
                  </w14:solidFill>
                </w14:textFill>
              </w:rPr>
              <w:t>8</w:t>
            </w:r>
            <w:r>
              <w:rPr>
                <w:rFonts w:hint="eastAsia" w:ascii="宋体" w:hAnsi="宋体" w:eastAsia="宋体" w:cs="宋体"/>
                <w:b/>
                <w:color w:val="000000" w:themeColor="text1"/>
                <w:sz w:val="24"/>
                <w:szCs w:val="24"/>
                <w14:textFill>
                  <w14:solidFill>
                    <w14:schemeClr w14:val="tx1"/>
                  </w14:solidFill>
                </w14:textFill>
              </w:rPr>
              <w:t>项按磋商无效处理。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3.功能演示（30分）</w:t>
            </w:r>
          </w:p>
        </w:tc>
        <w:tc>
          <w:tcPr>
            <w:tcW w:w="73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对“在线精品课程运维功能参数”的以下项参数进行演示，由评委根据演示情况评审并独立打分，每完整演示1项参数及性能满足文件要求的得4分，最多得30分。演示必须是现场操作演示，不接受视频动画、PPT、图像、图片的演示。</w:t>
            </w:r>
          </w:p>
          <w:p>
            <w:pPr>
              <w:keepNext w:val="0"/>
              <w:keepLines w:val="0"/>
              <w:pageBreakBefore w:val="0"/>
              <w:widowControl w:val="0"/>
              <w:kinsoku/>
              <w:wordWrap/>
              <w:overflowPunct/>
              <w:topLinePunct w:val="0"/>
              <w:autoSpaceDE/>
              <w:autoSpaceDN/>
              <w:bidi w:val="0"/>
              <w:adjustRightInd/>
              <w:spacing w:line="400" w:lineRule="exact"/>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（1）支持克隆课程，克隆后将产生当前课程的一个副本，可以克隆本课程给他人或者自己。支持映射课程：映射的课程不允许对课程内容进行编辑。</w:t>
            </w:r>
          </w:p>
          <w:p>
            <w:pPr>
              <w:keepNext w:val="0"/>
              <w:keepLines w:val="0"/>
              <w:pageBreakBefore w:val="0"/>
              <w:widowControl w:val="0"/>
              <w:kinsoku/>
              <w:wordWrap/>
              <w:overflowPunct/>
              <w:topLinePunct w:val="0"/>
              <w:autoSpaceDE/>
              <w:autoSpaceDN/>
              <w:bidi w:val="0"/>
              <w:adjustRightInd/>
              <w:spacing w:line="400" w:lineRule="exact"/>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（2）教材教参：教师可以从备课资源库中查找并添加课程相关的教学参考书，推荐给学生直接进行在线阅读。</w:t>
            </w:r>
          </w:p>
          <w:p>
            <w:pPr>
              <w:keepNext w:val="0"/>
              <w:keepLines w:val="0"/>
              <w:pageBreakBefore w:val="0"/>
              <w:widowControl w:val="0"/>
              <w:kinsoku/>
              <w:wordWrap/>
              <w:overflowPunct/>
              <w:topLinePunct w:val="0"/>
              <w:autoSpaceDE/>
              <w:autoSpaceDN/>
              <w:bidi w:val="0"/>
              <w:adjustRightInd/>
              <w:spacing w:line="400" w:lineRule="exact"/>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（3）推荐视频：教师可以从备课资源库中查找并添加课程相关的学术视频，推荐给学生直接进行在线观看。</w:t>
            </w:r>
          </w:p>
          <w:p>
            <w:pPr>
              <w:keepNext w:val="0"/>
              <w:keepLines w:val="0"/>
              <w:pageBreakBefore w:val="0"/>
              <w:widowControl w:val="0"/>
              <w:kinsoku/>
              <w:wordWrap/>
              <w:overflowPunct/>
              <w:topLinePunct w:val="0"/>
              <w:autoSpaceDE/>
              <w:autoSpaceDN/>
              <w:bidi w:val="0"/>
              <w:adjustRightInd/>
              <w:spacing w:line="400" w:lineRule="exact"/>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课堂投屏：支持只需在PC浏览器中输入简单的网址，填入为每堂课生成的专属“投屏码”，即可轻松实现教学内容的无线投屏。通过投屏，可将PPT、文档等教学资料，以及签到、选人、抢答、投票、主题讨论等教学互动过程与结果，实现上墙展示。</w:t>
            </w:r>
          </w:p>
          <w:p>
            <w:pPr>
              <w:keepNext w:val="0"/>
              <w:keepLines w:val="0"/>
              <w:pageBreakBefore w:val="0"/>
              <w:widowControl w:val="0"/>
              <w:kinsoku/>
              <w:wordWrap/>
              <w:overflowPunct/>
              <w:topLinePunct w:val="0"/>
              <w:autoSpaceDE/>
              <w:autoSpaceDN/>
              <w:bidi w:val="0"/>
              <w:adjustRightInd/>
              <w:spacing w:line="400" w:lineRule="exact"/>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（5）超大文件上传，支持超大文件（2G以上）上传并可断点续传。</w:t>
            </w:r>
          </w:p>
          <w:p>
            <w:pPr>
              <w:keepNext w:val="0"/>
              <w:keepLines w:val="0"/>
              <w:pageBreakBefore w:val="0"/>
              <w:widowControl w:val="0"/>
              <w:kinsoku/>
              <w:wordWrap/>
              <w:overflowPunct/>
              <w:topLinePunct w:val="0"/>
              <w:autoSpaceDE/>
              <w:autoSpaceDN/>
              <w:bidi w:val="0"/>
              <w:adjustRightInd/>
              <w:spacing w:line="400" w:lineRule="exact"/>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（6）在线虚拟剪辑：支持在线虚拟剪辑视频：上传视频后，可以在任意时间点在线标注，无需物理剪切视频，即可实现任意视频段落在任意章节播放。</w:t>
            </w:r>
          </w:p>
          <w:p>
            <w:pPr>
              <w:keepNext w:val="0"/>
              <w:keepLines w:val="0"/>
              <w:pageBreakBefore w:val="0"/>
              <w:widowControl w:val="0"/>
              <w:kinsoku/>
              <w:wordWrap/>
              <w:overflowPunct/>
              <w:topLinePunct w:val="0"/>
              <w:autoSpaceDE/>
              <w:autoSpaceDN/>
              <w:bidi w:val="0"/>
              <w:adjustRightInd/>
              <w:spacing w:line="400" w:lineRule="exact"/>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（7）支持扫描二维码、手势、定位、拍照等签到方式，提高签到效率。</w:t>
            </w:r>
          </w:p>
          <w:p>
            <w:pPr>
              <w:keepNext w:val="0"/>
              <w:keepLines w:val="0"/>
              <w:pageBreakBefore w:val="0"/>
              <w:widowControl w:val="0"/>
              <w:kinsoku/>
              <w:wordWrap/>
              <w:overflowPunct/>
              <w:topLinePunct w:val="0"/>
              <w:autoSpaceDE/>
              <w:autoSpaceDN/>
              <w:bidi w:val="0"/>
              <w:adjustRightInd/>
              <w:spacing w:line="400" w:lineRule="exact"/>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（8）知识点拓展阅读：知识点拓展阅读功能，可以根据一个关键词自动生成相关知识点的知识树，插入到课程单元中，并自动推送知识点相关的电子图书、期刊、学术视频等。</w:t>
            </w:r>
          </w:p>
          <w:p>
            <w:pPr>
              <w:keepNext w:val="0"/>
              <w:keepLines w:val="0"/>
              <w:pageBreakBefore w:val="0"/>
              <w:widowControl w:val="0"/>
              <w:kinsoku/>
              <w:wordWrap/>
              <w:overflowPunct/>
              <w:topLinePunct w:val="0"/>
              <w:autoSpaceDE/>
              <w:autoSpaceDN/>
              <w:bidi w:val="0"/>
              <w:adjustRightInd/>
              <w:spacing w:line="400" w:lineRule="exact"/>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注：供应商需对演示内容进行录制，然后存于U盘中与招标响应文件一起交至学校，演示内容录制必须是真实的使用环境。不演示、PPT演示等其他非真实使用环境演示计0分。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4.项目实施方案（15分）</w:t>
            </w:r>
          </w:p>
        </w:tc>
        <w:tc>
          <w:tcPr>
            <w:tcW w:w="73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根据对整体项目的理解程度情况，实施方案、系统架构组建方案、后期运营方案以及系统设备功能扩展应用方案，人员配备、分工、实施准备、进度安排、质量控制、检测及验收、项目移交等方面描述：</w:t>
            </w:r>
          </w:p>
          <w:p>
            <w:pPr>
              <w:keepNext w:val="0"/>
              <w:keepLines w:val="0"/>
              <w:pageBreakBefore w:val="0"/>
              <w:widowControl w:val="0"/>
              <w:kinsoku/>
              <w:wordWrap/>
              <w:overflowPunct/>
              <w:topLinePunct w:val="0"/>
              <w:autoSpaceDE/>
              <w:autoSpaceDN/>
              <w:bidi w:val="0"/>
              <w:adjustRightInd/>
              <w:spacing w:line="400" w:lineRule="exact"/>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档（4分）：供应商对本项目的理解、项目实施计划、技术人员安排表述一般，能提供较完整的实施方案，没有明显的技术错误，技术及实施方案较简单，方案描述不够清晰，描述不够具体，无法说明其可行性，列入第一档。</w:t>
            </w:r>
          </w:p>
          <w:p>
            <w:pPr>
              <w:keepNext w:val="0"/>
              <w:keepLines w:val="0"/>
              <w:pageBreakBefore w:val="0"/>
              <w:widowControl w:val="0"/>
              <w:kinsoku/>
              <w:wordWrap/>
              <w:overflowPunct/>
              <w:topLinePunct w:val="0"/>
              <w:autoSpaceDE/>
              <w:autoSpaceDN/>
              <w:bidi w:val="0"/>
              <w:adjustRightInd/>
              <w:spacing w:line="400" w:lineRule="exact"/>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档（9分）：供应商对本项目的理解、项目实施计划、技术人员表安排表述清晰、完整、严谨、合理，能够提供较完整的实施方案，阐述清楚产品的功能，功能描述相对具体，基本符合项目的需要，论证基本准确列入第二档。</w:t>
            </w:r>
          </w:p>
          <w:p>
            <w:pPr>
              <w:keepNext w:val="0"/>
              <w:keepLines w:val="0"/>
              <w:pageBreakBefore w:val="0"/>
              <w:widowControl w:val="0"/>
              <w:kinsoku/>
              <w:wordWrap/>
              <w:overflowPunct/>
              <w:topLinePunct w:val="0"/>
              <w:autoSpaceDE/>
              <w:autoSpaceDN/>
              <w:bidi w:val="0"/>
              <w:adjustRightInd/>
              <w:spacing w:line="400" w:lineRule="exact"/>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档（15分）：供应商对本项目的理解、项目实施计划、技术人员表安排表述清晰、完整、严谨、合理，能够完整提供完整可行的实施方案，方案完全符合项目要求，且方案完整全面，阐述清楚各产品的功能，各个产品功能描述具体详细，完全满足项目需要；能够完全满足采购文件中的功能要求、性能要求和实施要求；在此基础上充分了解采购方的实际情况和需求，针对项目核心风险点进行分析，并提出具有针对性的合理化建议及切实可行的解决方案和应对措施，服务响应措施；对采购人实际情况和未来发展有针对性的设计及合理化建议，列入第三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0"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5.售后服务（5分）</w:t>
            </w:r>
          </w:p>
        </w:tc>
        <w:tc>
          <w:tcPr>
            <w:tcW w:w="73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评委根据供应商响应文件中售后服务承诺书内容的完整性、可行性、到达故障现场时间、故障出现解决方案、定期维护（注明时间）、免费技术培训方案、保修期外维修方案、本地化售后服务措施、其他优惠措施等方面进行打分。</w:t>
            </w:r>
          </w:p>
          <w:p>
            <w:pPr>
              <w:keepNext w:val="0"/>
              <w:keepLines w:val="0"/>
              <w:pageBreakBefore w:val="0"/>
              <w:widowControl w:val="0"/>
              <w:kinsoku/>
              <w:wordWrap/>
              <w:overflowPunct/>
              <w:topLinePunct w:val="0"/>
              <w:autoSpaceDE/>
              <w:autoSpaceDN/>
              <w:bidi w:val="0"/>
              <w:adjustRightInd/>
              <w:spacing w:line="400" w:lineRule="exact"/>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一档1分：磋商供应商所提供的售后服务方案，方案包含有项目售后维护和应急保障措施，方案可行。售后服务响应时间、维修人员到达时间以及维修时间基本满足磋商文件要求。</w:t>
            </w:r>
          </w:p>
          <w:p>
            <w:pPr>
              <w:keepNext w:val="0"/>
              <w:keepLines w:val="0"/>
              <w:pageBreakBefore w:val="0"/>
              <w:widowControl w:val="0"/>
              <w:kinsoku/>
              <w:wordWrap/>
              <w:overflowPunct/>
              <w:topLinePunct w:val="0"/>
              <w:autoSpaceDE/>
              <w:autoSpaceDN/>
              <w:bidi w:val="0"/>
              <w:adjustRightInd/>
              <w:spacing w:line="400" w:lineRule="exact"/>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档3分：磋商供应商所提供的售后服务方案，方案包含有项目售后维护、应急保障措施等，且描述了项目售后维护和应急保障方案的方法以及实现方式，方案可行较详细。售后服务响应时间、维修人员到达时间以及维修时间完全满足磋商文件要求。</w:t>
            </w:r>
          </w:p>
          <w:p>
            <w:pPr>
              <w:keepNext w:val="0"/>
              <w:keepLines w:val="0"/>
              <w:pageBreakBefore w:val="0"/>
              <w:widowControl w:val="0"/>
              <w:kinsoku/>
              <w:wordWrap/>
              <w:overflowPunct/>
              <w:topLinePunct w:val="0"/>
              <w:autoSpaceDE/>
              <w:autoSpaceDN/>
              <w:bidi w:val="0"/>
              <w:adjustRightInd/>
              <w:spacing w:line="400" w:lineRule="exact"/>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档5分：磋商供应商所提供的售后服务方案，方案包含有项目售后维护、应急保障措施且描述了项目售后维护和应急保障方案的方法以及实现方式，服务承诺和保障措施考虑周全完整详细。售后服务响应时间、维修人员到达时间以及维修时间优于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1209"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6.业绩（5分）</w:t>
            </w:r>
          </w:p>
        </w:tc>
        <w:tc>
          <w:tcPr>
            <w:tcW w:w="7312" w:type="dxa"/>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pacing w:line="400" w:lineRule="exact"/>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响应文件中提供2020年以来具有同类项目业绩（以中标、成交通知书或签订的项目合同复印件为准，并能清晰反映项目的名称、种类、金额，否则将不予计分，同一个编号的项目有两个或两个以上的分标中标的只算一次），每提供有1个得1分，最多得5分。</w:t>
            </w:r>
          </w:p>
        </w:tc>
      </w:tr>
    </w:tbl>
    <w:p>
      <w:pPr>
        <w:spacing w:line="360" w:lineRule="auto"/>
        <w:rPr>
          <w:rFonts w:hint="eastAsia"/>
          <w:sz w:val="28"/>
          <w:szCs w:val="36"/>
          <w:lang w:val="en-US" w:eastAsia="zh-CN"/>
        </w:rPr>
      </w:pPr>
    </w:p>
    <w:p>
      <w:pPr>
        <w:spacing w:line="360" w:lineRule="auto"/>
        <w:ind w:left="0" w:leftChars="0" w:firstLine="638" w:firstLineChars="266"/>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二、成交候选人推荐原则</w:t>
      </w:r>
    </w:p>
    <w:p>
      <w:pPr>
        <w:spacing w:line="360" w:lineRule="auto"/>
        <w:ind w:left="0" w:leftChars="0" w:firstLine="638" w:firstLineChars="266"/>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评审小组应当根据综合评分情况，按照评审得分由高到低顺序推荐3名以上成交候选供应商，并编写评审报告。评审得分且相同的，为我校指导精品课程建设成果显著者优先。</w:t>
      </w:r>
    </w:p>
    <w:p>
      <w:pPr>
        <w:spacing w:line="360" w:lineRule="auto"/>
        <w:ind w:left="0" w:leftChars="0" w:firstLine="638" w:firstLineChars="266"/>
        <w:rPr>
          <w:rFonts w:hint="default"/>
          <w:sz w:val="28"/>
          <w:szCs w:val="36"/>
          <w:lang w:val="en-US" w:eastAsia="zh-CN"/>
        </w:rPr>
      </w:pPr>
      <w:r>
        <w:rPr>
          <w:rFonts w:hint="eastAsia" w:ascii="宋体" w:hAnsi="宋体" w:eastAsia="宋体" w:cs="宋体"/>
          <w:sz w:val="24"/>
          <w:szCs w:val="32"/>
          <w:lang w:val="en-US" w:eastAsia="zh-CN"/>
        </w:rPr>
        <w:t>评审小组将根据综合评分得分由高到低排列次序，并推荐成交候选供应商；综合评分第一名的为第一成交候选人，排名第二的为第二成交候选人，以此类推。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0NDU3YjdhZjhkZmYwMzkzYTA5Nzc0MzUwMDAzMzMifQ=="/>
  </w:docVars>
  <w:rsids>
    <w:rsidRoot w:val="64611BBA"/>
    <w:rsid w:val="64611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2023-04-10T08:02:00Z</dcterms:created>
  <dc:creator>Administrator</dc:creator>
  <cp:lastModifiedBy>Administrator</cp:lastModifiedBy>
  <dcterms:modified xsi:type="dcterms:W3CDTF">2023-04-10T08:05:06Z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026317E2984F4AEFB93FD1ABCAAFD272_11</vt:lpwstr>
  </property>
</Properties>
</file>