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color w:val="000000"/>
          <w:kern w:val="0"/>
          <w:sz w:val="28"/>
          <w:szCs w:val="28"/>
          <w:lang w:bidi="ar"/>
        </w:rPr>
      </w:pPr>
      <w:bookmarkStart w:id="1" w:name="_GoBack"/>
      <w:r>
        <w:rPr>
          <w:rFonts w:hint="eastAsia" w:ascii="宋体" w:hAnsi="宋体" w:eastAsia="宋体" w:cs="宋体"/>
          <w:b/>
          <w:bCs/>
          <w:color w:val="000000"/>
          <w:kern w:val="0"/>
          <w:sz w:val="28"/>
          <w:szCs w:val="28"/>
          <w:lang w:bidi="ar"/>
        </w:rPr>
        <w:t>附件二</w:t>
      </w:r>
      <w:bookmarkStart w:id="0" w:name="_Toc49873391"/>
      <w:r>
        <w:rPr>
          <w:rFonts w:hint="eastAsia" w:ascii="宋体" w:hAnsi="宋体" w:eastAsia="宋体" w:cs="宋体"/>
          <w:b/>
          <w:bCs/>
          <w:color w:val="000000"/>
          <w:kern w:val="0"/>
          <w:sz w:val="28"/>
          <w:szCs w:val="28"/>
          <w:lang w:bidi="ar"/>
        </w:rPr>
        <w:t>：评标</w:t>
      </w:r>
      <w:bookmarkEnd w:id="0"/>
      <w:r>
        <w:rPr>
          <w:rFonts w:hint="eastAsia" w:ascii="宋体" w:hAnsi="宋体" w:eastAsia="宋体" w:cs="宋体"/>
          <w:b/>
          <w:bCs/>
          <w:color w:val="000000"/>
          <w:kern w:val="0"/>
          <w:sz w:val="28"/>
          <w:szCs w:val="28"/>
          <w:lang w:bidi="ar"/>
        </w:rPr>
        <w:t>标准</w:t>
      </w:r>
    </w:p>
    <w:bookmarkEnd w:id="1"/>
    <w:tbl>
      <w:tblPr>
        <w:tblStyle w:val="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953"/>
        <w:gridCol w:w="720"/>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859" w:type="dxa"/>
            <w:gridSpan w:val="2"/>
            <w:vAlign w:val="center"/>
          </w:tcPr>
          <w:p>
            <w:pPr>
              <w:adjustRightInd w:val="0"/>
              <w:spacing w:line="40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评价因素</w:t>
            </w:r>
          </w:p>
        </w:tc>
        <w:tc>
          <w:tcPr>
            <w:tcW w:w="720" w:type="dxa"/>
            <w:vAlign w:val="center"/>
          </w:tcPr>
          <w:p>
            <w:pPr>
              <w:adjustRightInd w:val="0"/>
              <w:spacing w:line="40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分值</w:t>
            </w:r>
          </w:p>
        </w:tc>
        <w:tc>
          <w:tcPr>
            <w:tcW w:w="6203" w:type="dxa"/>
            <w:vAlign w:val="center"/>
          </w:tcPr>
          <w:p>
            <w:pPr>
              <w:adjustRightInd w:val="0"/>
              <w:spacing w:line="400" w:lineRule="exact"/>
              <w:jc w:val="center"/>
              <w:textAlignment w:val="baseline"/>
              <w:rPr>
                <w:rFonts w:ascii="宋体" w:hAnsi="宋体" w:eastAsia="宋体" w:cs="宋体"/>
                <w:b/>
                <w:bCs/>
                <w:sz w:val="24"/>
                <w:szCs w:val="24"/>
              </w:rPr>
            </w:pPr>
            <w:r>
              <w:rPr>
                <w:rFonts w:hint="eastAsia" w:ascii="宋体" w:hAnsi="宋体" w:eastAsia="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价格</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20分</w:t>
            </w: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商务报价</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20</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lang w:val="zh-CN"/>
              </w:rPr>
              <w:t>以本次投标报价平均值为基准价，各投标人报价以评标基准价为最优得分，每高于基准价2％扣1分，每低于基准价2％扣0.5分；不足2％部分按内插法计算，小数点后保留两位小数。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Merge w:val="restart"/>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技术</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53分</w:t>
            </w: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项目实施方案</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18</w:t>
            </w:r>
          </w:p>
        </w:tc>
        <w:tc>
          <w:tcPr>
            <w:tcW w:w="6203" w:type="dxa"/>
            <w:tcBorders>
              <w:bottom w:val="single" w:color="auto" w:sz="4" w:space="0"/>
            </w:tcBorders>
            <w:vAlign w:val="center"/>
          </w:tcPr>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根据对整体项目的理解程度情况，实施方案、系统架构组建方案、后期运营方案以及系统设备功能扩展应用方案，人员配备、分工、实施准备、进度安排、质量控制、检测及验收、项目移交等方面描述：</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一档（4分）：供应商对本项目的理解、项目实施计划、技术人员安排表述一般，能提供较完整的实施方案，没有明显的技术错误，技术及实施方案较简单，方案描述不够清晰，描述不够具体，无法说明其可行性，列入第一档。</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二档（9分）：供应商对本项目的理解、项目实施计划、技术人员表安排表述清晰、完整、严谨、合理，能够提供较完整的实施方案，阐述清楚产品的功能，功能描述相对具体，基本符合项目的需要，论证基本准确列入第二档。</w:t>
            </w:r>
          </w:p>
          <w:p>
            <w:pPr>
              <w:spacing w:line="400" w:lineRule="exact"/>
              <w:ind w:firstLine="480" w:firstLineChars="200"/>
              <w:textAlignment w:val="baseline"/>
              <w:rPr>
                <w:rFonts w:ascii="宋体" w:hAnsi="宋体" w:eastAsia="宋体" w:cs="宋体"/>
                <w:sz w:val="24"/>
                <w:szCs w:val="24"/>
              </w:rPr>
            </w:pPr>
            <w:r>
              <w:rPr>
                <w:rFonts w:hint="eastAsia" w:ascii="宋体" w:hAnsi="宋体" w:eastAsia="宋体" w:cs="宋体"/>
                <w:bCs/>
                <w:sz w:val="24"/>
                <w:szCs w:val="24"/>
              </w:rPr>
              <w:t>三档（18分）：供应商对本项目的理解、项目实施计划、技术人员表安排表述清晰、完整、严谨、合理，能够完整提供完整可行的实施方案，方案完全符合项目要求，且方案完整全面，阐述清楚各产品的功能，各个产品功能描述具体详细，完全满足项目需要；能够完全满足采购文件中的功能要求、性能要求和实施要求；在此基础上充分了解采购方的实际情况和需求，针对项目核心风险点进行分析，并提出具有针对性的合理化建议及切实可行的解决方案和应对措施，服务响应措施；对采购人实际情况和未来发展有针对性的设计及合理化建议，列入第三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在产品的技术参数中，对标 (▲号)条款的响应程度进行评审</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10</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横向对比有效投标人所投产品带和“▲”条款的技术规格、参数指标，结合投标人产品材料的提供情况进行评比。</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每负偏离“▲”条款的，每个扣2分，扣完为止。</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非“▲”条款每个不满足者扣1分，扣完为止。</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提供虚假参数及证明文件者，取消投标资格，中标后取消中标资格。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系统演示</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（投标人须真实产品进行演示，具体演示内容见各项评审因素要求；演示时间：不得超过20分钟。）</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【注：因不是现场开标投标人需进行演示视频录制好装U盘中与报价文件装一个文件袋中。】</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25</w:t>
            </w:r>
          </w:p>
        </w:tc>
        <w:tc>
          <w:tcPr>
            <w:tcW w:w="6203" w:type="dxa"/>
            <w:vAlign w:val="center"/>
          </w:tcPr>
          <w:p>
            <w:pPr>
              <w:adjustRightInd w:val="0"/>
              <w:spacing w:line="400" w:lineRule="exact"/>
              <w:ind w:firstLine="420" w:firstLineChars="175"/>
              <w:textAlignment w:val="baseline"/>
              <w:rPr>
                <w:rFonts w:ascii="宋体" w:hAnsi="宋体" w:eastAsia="宋体" w:cs="宋体"/>
                <w:bCs/>
                <w:sz w:val="24"/>
                <w:szCs w:val="24"/>
                <w:lang w:val="zh-CN"/>
              </w:rPr>
            </w:pPr>
            <w:r>
              <w:rPr>
                <w:rFonts w:hint="eastAsia" w:ascii="宋体" w:hAnsi="宋体" w:eastAsia="宋体" w:cs="宋体"/>
                <w:sz w:val="24"/>
                <w:szCs w:val="24"/>
                <w:lang w:val="zh-CN"/>
              </w:rPr>
              <w:t>演示必须是现场操作演示，不接受视频动画、PPT、图像、图片的演示</w:t>
            </w:r>
            <w:r>
              <w:rPr>
                <w:rFonts w:hint="eastAsia" w:ascii="宋体" w:hAnsi="宋体" w:eastAsia="宋体" w:cs="宋体"/>
                <w:bCs/>
                <w:sz w:val="24"/>
                <w:szCs w:val="24"/>
                <w:lang w:val="zh-CN"/>
              </w:rPr>
              <w:t>。</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 xml:space="preserve">1、资源建设：教师在教学资源库建设时可以从平台内置资源中添加电子图书和学术视频，并可以直接进行在线阅读；教师也可以添加平台中的共享资源到教学资源库中。（2分） </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2、教师在建课时支持视频中任意时间点插入测验：上传视频后，可以在任意时间点插入测试题，包含单选题、多选题和对错题。（2分）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3、教师在建课时支持视频中任意时间点插入图片或PPT：可以在任意时间点插入图片或PPT，同时支持对插入的内容在时间轴上随意拖动。插入的PPT可以任意拖动位置，并可以跟视频窗口进行切换。（2分）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4、支持知识点拓展阅读功能，可以根据一个关键词自动生成相关知识点的知识树，插入到课程单元中，并自动推送知识点相关的图书、期刊、论文等资料。（2分）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5、支持任务点设计，教师可以将课程章节内视频、图书、作业等内容设置为任务点，灵活控制学生学习的情况。学生端可以看到整个课程和每个章节需要完成的任务点情况，每完成一个任务，数量会自动减一。（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6、笔记功能：学生可以通过图片、录音、文字、链接、位置等方式记录学习内容，同时录音内容支持实时智能识别，转换成文字内容；并且支持打点记录学习或会议内容。（2分）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7、课程引用资源：教师建设网络课程时，可通过系统推荐或者自行检索将教学资源库中的资源引用到网络课程章节中，并可以设置成为任务点，丰富课程资源。课程资源推送到资源库：可以将教师在网络教学平台中建好的网络课程资源直接推送至教学资源库中进行共享。（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8、门户管理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 xml:space="preserve">（1）门户提供不少于10套门户样式风格模版，选择模板后可快速生成含部分常用应用模块的页面。支持对模板内容进行编辑调整，提供背景设置、主题颜色设置，页面上的应用、图标等相关元素自主实现与主题色统一。 </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2）系统提供相应的模块配置，分为布局、基础、应用和全局模块来管理。布局模块提供页面常用布局框架，拖拽入布局中的模块自适应排版。提供基础模块用以生成网站应用模块和页面，满足绝大部分网站内容的展现形式。支持可视化的拖拽和设置，随时自主改变模块尺寸大小、位置和样式。（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9、教师备课：教师可以在移动端中的活动库中，设置移动教案。按照教学计划，教师可提前在移动端上组织教学内容，有序安排资料推送、签到、问答、抢答、投票等教学活动，方便课堂发放并易于复用。（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10、课堂互动功能：教师通过移动端进行课件投屏，PPT投屏演示保留动画效果，播放流畅。投屏时手机端和PC端界面同步，投屏过程中提供选人、抢答、分组任务、白板、主题讨论等教学环节，并能直接在投屏上展示结果数据。（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11、通知：可以在移动客户端选择给指定的人发送通知，并统计已读和未读名单。（1分）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12、提供字幕翻译：观看章节视频时支持选择语言显示翻译字幕，通过多语言智能翻译，课程实时呈现双语</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字幕，实现国际化教学过程中的无障碍交流。（2分）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13、移动端资源引用：移动客户端中，教师可以在课堂教学中引用教学资源库中的资源，在教案中引入PPT，可以在课程章节中引用教学资源库素材资源，可以在作业或者考试中引用教学资源题库资源。（2分）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06" w:type="dxa"/>
            <w:vMerge w:val="restart"/>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商务</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部分</w:t>
            </w:r>
          </w:p>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27分</w:t>
            </w: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类似业绩</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10</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提供近三年内同类型教学资源库平台成功案例，8个及以上得10分，6 个以上得5分，其他计0分（提供合同关键页复印件并加盖公章，原件备查）。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软件资质</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4</w:t>
            </w:r>
          </w:p>
        </w:tc>
        <w:tc>
          <w:tcPr>
            <w:tcW w:w="6203" w:type="dxa"/>
            <w:vAlign w:val="center"/>
          </w:tcPr>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1、具有软件企业认证证书，满足该条件得1分。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 xml:space="preserve">2、具有企业信用具有AAA等级证书，满足该条件得1分。 </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3、具有ISO9001质量管理体系认证证书，满足该条件得1分。</w:t>
            </w:r>
          </w:p>
          <w:p>
            <w:pPr>
              <w:adjustRightInd w:val="0"/>
              <w:spacing w:line="400" w:lineRule="exact"/>
              <w:ind w:firstLine="420" w:firstLineChars="175"/>
              <w:textAlignment w:val="baseline"/>
              <w:rPr>
                <w:rFonts w:ascii="宋体" w:hAnsi="宋体" w:eastAsia="宋体" w:cs="宋体"/>
                <w:sz w:val="24"/>
                <w:szCs w:val="24"/>
              </w:rPr>
            </w:pPr>
            <w:r>
              <w:rPr>
                <w:rFonts w:hint="eastAsia" w:ascii="宋体" w:hAnsi="宋体" w:eastAsia="宋体" w:cs="宋体"/>
                <w:sz w:val="24"/>
                <w:szCs w:val="24"/>
              </w:rPr>
              <w:t>4、具有出版物经营许可证，满足该条件得1分。</w:t>
            </w:r>
          </w:p>
          <w:p>
            <w:pPr>
              <w:adjustRightInd w:val="0"/>
              <w:spacing w:line="400" w:lineRule="exact"/>
              <w:textAlignment w:val="baseline"/>
              <w:rPr>
                <w:rFonts w:ascii="宋体" w:hAnsi="宋体" w:eastAsia="宋体" w:cs="宋体"/>
                <w:sz w:val="24"/>
                <w:szCs w:val="24"/>
              </w:rPr>
            </w:pPr>
            <w:r>
              <w:rPr>
                <w:rFonts w:hint="eastAsia" w:ascii="宋体" w:hAnsi="宋体" w:eastAsia="宋体" w:cs="宋体"/>
                <w:sz w:val="24"/>
                <w:szCs w:val="24"/>
              </w:rPr>
              <w:t>（提供有效证书复印件，原件备查，否则不计分）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06" w:type="dxa"/>
            <w:vMerge w:val="continue"/>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售后服务</w:t>
            </w:r>
          </w:p>
        </w:tc>
        <w:tc>
          <w:tcPr>
            <w:tcW w:w="720"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13</w:t>
            </w:r>
          </w:p>
        </w:tc>
        <w:tc>
          <w:tcPr>
            <w:tcW w:w="6203" w:type="dxa"/>
            <w:vAlign w:val="center"/>
          </w:tcPr>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由评委根据供应商响应文件中售后服务承诺书内容的完整性、可行性、到达故障现场时间、故障出现解决方案、定期维护（注明时间）、免费技术培训方案、保修期外维修方案、本地化售后服务措施、其他优惠措施等方面进行打分。</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一档3分：磋商供应商所提供的售后服务方案，方案包含有项目售后维护和应急保障措施，方案可行。售后服务响应时间、维修人员到达时间以及维修时间基本满足磋商文件要求。</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二档6分：磋商供应商所提供的售后服务方案，方案包含有项目售后维护、应急保障措施等，且描述了项目售后维护和应急保障方案的方法以及实现方式，方案可行较详细。售后服务响应时间、维修人员到达时间以及维修时间完全满足磋商文件要求。</w:t>
            </w:r>
          </w:p>
          <w:p>
            <w:pPr>
              <w:spacing w:line="40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三档13分：磋商供应商所提供的售后服务方案，方案包含有项目售后维护、应急保障措施且描述了项目售后维护和应急保障方案的方法以及实现方式，服务承诺和保障措施考虑周全完整详细。售后服务响应时间、维修人员到达时间以及维修时间优于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06" w:type="dxa"/>
            <w:vAlign w:val="center"/>
          </w:tcPr>
          <w:p>
            <w:pPr>
              <w:adjustRightInd w:val="0"/>
              <w:spacing w:line="400" w:lineRule="exact"/>
              <w:jc w:val="center"/>
              <w:textAlignment w:val="baseline"/>
              <w:rPr>
                <w:rFonts w:ascii="宋体" w:hAnsi="宋体" w:eastAsia="宋体" w:cs="宋体"/>
                <w:sz w:val="24"/>
                <w:szCs w:val="24"/>
              </w:rPr>
            </w:pPr>
          </w:p>
        </w:tc>
        <w:tc>
          <w:tcPr>
            <w:tcW w:w="1953" w:type="dxa"/>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总分</w:t>
            </w:r>
          </w:p>
        </w:tc>
        <w:tc>
          <w:tcPr>
            <w:tcW w:w="6923" w:type="dxa"/>
            <w:gridSpan w:val="2"/>
            <w:vAlign w:val="center"/>
          </w:tcPr>
          <w:p>
            <w:pPr>
              <w:adjustRightIn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TgyYTJjM2YzZDgwZjNhNjk3YjYzNzU0YjM1NjkifQ=="/>
  </w:docVars>
  <w:rsids>
    <w:rsidRoot w:val="1ACB6FE6"/>
    <w:rsid w:val="1ACB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2023-09-22T09:57:00Z</dcterms:created>
  <dc:creator>Administrator</dc:creator>
  <cp:lastModifiedBy>Administrator</cp:lastModifiedBy>
  <dcterms:modified xsi:type="dcterms:W3CDTF">2023-09-22T09:59:25Z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60F76AB8A29A48E6854E9EC6F1C941F2_11</vt:lpwstr>
  </property>
</Properties>
</file>