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482" w:firstLineChars="200"/>
        <w:rPr>
          <w:rFonts w:asciiTheme="minorEastAsia" w:hAnsiTheme="minorEastAsia"/>
          <w:b/>
          <w:bCs/>
          <w:sz w:val="24"/>
        </w:rPr>
      </w:pPr>
      <w:bookmarkStart w:id="0" w:name="_Toc45034514"/>
      <w:r>
        <w:rPr>
          <w:rFonts w:hint="eastAsia" w:asciiTheme="minorEastAsia" w:hAnsiTheme="minorEastAsia"/>
          <w:b/>
          <w:bCs/>
          <w:sz w:val="24"/>
        </w:rPr>
        <w:t>附件二：</w:t>
      </w:r>
      <w:r>
        <w:rPr>
          <w:rFonts w:hint="eastAsia" w:cs="仿宋" w:asciiTheme="minorEastAsia" w:hAnsiTheme="minorEastAsia"/>
          <w:b/>
          <w:bCs/>
          <w:sz w:val="24"/>
        </w:rPr>
        <w:t>评标办法及评标标准</w:t>
      </w:r>
      <w:bookmarkStart w:id="1" w:name="_GoBack"/>
      <w:bookmarkEnd w:id="1"/>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一、评标办法</w:t>
      </w:r>
    </w:p>
    <w:p>
      <w:pPr>
        <w:adjustRightInd w:val="0"/>
        <w:snapToGrid w:val="0"/>
        <w:spacing w:line="600" w:lineRule="exact"/>
        <w:ind w:firstLine="480" w:firstLineChars="200"/>
        <w:rPr>
          <w:rFonts w:cs="仿宋" w:asciiTheme="minorEastAsia" w:hAnsiTheme="minorEastAsia"/>
          <w:sz w:val="24"/>
        </w:rPr>
      </w:pPr>
      <w:r>
        <w:rPr>
          <w:rFonts w:hint="eastAsia" w:cs="仿宋" w:asciiTheme="minorEastAsia" w:hAnsiTheme="minorEastAsia"/>
          <w:sz w:val="24"/>
        </w:rPr>
        <w:t>评审小组对供应商的报价、技术、商务等方面内容按百分制打分。(计分方法按四舍五入取至百分位)</w:t>
      </w:r>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二、评分标准</w:t>
      </w:r>
    </w:p>
    <w:p>
      <w:pPr>
        <w:adjustRightInd w:val="0"/>
        <w:snapToGrid w:val="0"/>
        <w:spacing w:line="600" w:lineRule="exact"/>
        <w:ind w:firstLine="480" w:firstLineChars="200"/>
        <w:rPr>
          <w:rFonts w:cs="仿宋" w:asciiTheme="minorEastAsia" w:hAnsiTheme="minorEastAsia"/>
          <w:sz w:val="24"/>
        </w:rPr>
      </w:pPr>
      <w:r>
        <w:rPr>
          <w:rFonts w:hint="eastAsia" w:cs="仿宋" w:asciiTheme="minorEastAsia" w:hAnsiTheme="minorEastAsia"/>
          <w:sz w:val="24"/>
        </w:rPr>
        <w:t>分值(权重)分配:评分总分最高为100分，商务、技术及价格评分分值(权重)分配设置如下: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774"/>
        <w:gridCol w:w="1716"/>
        <w:gridCol w:w="170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评分项目</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技术评分</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商务评分</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价格评分</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权重</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75%</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15%</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分值</w:t>
            </w:r>
          </w:p>
        </w:tc>
        <w:tc>
          <w:tcPr>
            <w:tcW w:w="1041"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75分</w:t>
            </w:r>
          </w:p>
        </w:tc>
        <w:tc>
          <w:tcPr>
            <w:tcW w:w="1007"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15分</w:t>
            </w:r>
          </w:p>
        </w:tc>
        <w:tc>
          <w:tcPr>
            <w:tcW w:w="1000"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10分</w:t>
            </w:r>
          </w:p>
        </w:tc>
        <w:tc>
          <w:tcPr>
            <w:tcW w:w="965" w:type="pct"/>
          </w:tcPr>
          <w:p>
            <w:pPr>
              <w:adjustRightInd w:val="0"/>
              <w:snapToGrid w:val="0"/>
              <w:spacing w:line="600" w:lineRule="exact"/>
              <w:rPr>
                <w:rFonts w:ascii="仿宋" w:hAnsi="仿宋" w:eastAsia="仿宋" w:cs="Times New Roman"/>
                <w:sz w:val="24"/>
              </w:rPr>
            </w:pPr>
            <w:r>
              <w:rPr>
                <w:rFonts w:hint="eastAsia" w:ascii="仿宋" w:hAnsi="仿宋" w:eastAsia="仿宋" w:cs="Times New Roman"/>
                <w:sz w:val="24"/>
              </w:rPr>
              <w:t>100分</w:t>
            </w:r>
          </w:p>
        </w:tc>
      </w:tr>
    </w:tbl>
    <w:p>
      <w:pPr>
        <w:adjustRightInd w:val="0"/>
        <w:snapToGrid w:val="0"/>
        <w:spacing w:line="600" w:lineRule="exact"/>
        <w:jc w:val="center"/>
        <w:rPr>
          <w:rFonts w:ascii="仿宋" w:hAnsi="仿宋" w:eastAsia="仿宋" w:cs="Times New Roman"/>
          <w:sz w:val="24"/>
        </w:rPr>
      </w:pPr>
      <w:r>
        <w:rPr>
          <w:rFonts w:hint="eastAsia" w:ascii="仿宋" w:hAnsi="仿宋" w:eastAsia="仿宋" w:cs="Times New Roman"/>
          <w:sz w:val="24"/>
        </w:rPr>
        <w:t>价格、技术评分表（85分）</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76"/>
        <w:gridCol w:w="542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序号</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评分因素</w:t>
            </w:r>
          </w:p>
        </w:tc>
        <w:tc>
          <w:tcPr>
            <w:tcW w:w="3183"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评分因素具体内容</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价格分</w:t>
            </w:r>
          </w:p>
        </w:tc>
        <w:tc>
          <w:tcPr>
            <w:tcW w:w="3183" w:type="pct"/>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（1）以进入比较与评价环节的最低的评审价为基准价，基准价得分为10分。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（2）价格分计算公式：</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报价得分=（基准价/投标报价）×10分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（3）本项目为专门面向小型、微企业项目，小型企业、微型企业、监狱企业、残疾人福利性单位不再执行价格评审优惠的扶持政策。</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技术分</w:t>
            </w:r>
          </w:p>
        </w:tc>
        <w:tc>
          <w:tcPr>
            <w:tcW w:w="3183"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评分因素具体内容</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满分75分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2.1</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项目实施方案分</w:t>
            </w:r>
          </w:p>
        </w:tc>
        <w:tc>
          <w:tcPr>
            <w:tcW w:w="3183"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未提供方案或方案达不到一档要求的不进档，计为0分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一档（5分）：对项目理解一般，实施方案简单，有项目执行组织措施、项目执行保障措施，思路、规划等基本满足建设要求，基本满足采购文件要求；</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二档（10分）：对项目理解较到位，实施方案较详细，合理可行，思路、规划等满足建设要求，思路清晰、突出，建设规划符合精品在线开放课程资源要求，项目执行组织措施、执行保障措施详细可行，方案资料齐全，能满足项目实施要求；</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三档（15分）：对项目理解到位，实施方案详细有针对性，合理可行，思路、规划、内容思路清晰，思路提炼十分清晰、精准把握项目需求，符合精品在线开放课程建设需求，建设内容提炼清晰、突出，切入点准确、表述清晰、完整。组织机构健全，详细说明各个阶段工作安排及实施进度，实施人员配备完备，项目执行组织措施、项目执行保障措施详细可行，熟悉项目流程及业务，方案资料齐全、实施组织方案完善，具有针对性。</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2.2</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项目服务保障分</w:t>
            </w:r>
          </w:p>
        </w:tc>
        <w:tc>
          <w:tcPr>
            <w:tcW w:w="3183"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供应商为该项目配备人员具备丰富的项目服务团队经验，团队成员应具备2020年1月1日至响应文件递交截止时间指导过广西区内高职院校申报获得省级及以上在线精品课的经验，每指导广西区内高职院校获得1个省级及以上在线精品课得6分，满分24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注：响应文件须提供人员经验证明材料（如：学校出具的相关指导证明）复印件及劳动合同复印件并加盖供应商公章，否则不予以计分。</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2.3</w:t>
            </w:r>
          </w:p>
        </w:tc>
        <w:tc>
          <w:tcPr>
            <w:tcW w:w="631"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实施团队</w:t>
            </w:r>
          </w:p>
        </w:tc>
        <w:tc>
          <w:tcPr>
            <w:tcW w:w="3183"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 xml:space="preserve"> （1）团队成员拥有工业和信息化部教育与考试中心颁发的平面设计师证书，每有1人拥有高级平面设计师证书得6分，满分12分。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（2）团队成员拥有工业和信息化部教育与考试中心颁发的三维动画设计师证书，每有1人拥有三维动画设计师证书得6分，满分12分。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（3）团队成员拥有工业和信息化部教育与考试中心颁发的影视后期制作工程师证书，每有1人拥有影视后期制作工程师证书得6分，满分12分。</w:t>
            </w:r>
          </w:p>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注：响应文件须提供项目实施人员相应的证书、劳动合同复印件并加盖供应商公章，否则不予以计分。</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36分</w:t>
            </w:r>
          </w:p>
        </w:tc>
      </w:tr>
    </w:tbl>
    <w:p>
      <w:pPr>
        <w:adjustRightInd w:val="0"/>
        <w:snapToGrid w:val="0"/>
        <w:spacing w:line="400" w:lineRule="exact"/>
        <w:jc w:val="center"/>
        <w:rPr>
          <w:rFonts w:ascii="仿宋" w:hAnsi="仿宋" w:eastAsia="仿宋" w:cs="Times New Roman"/>
          <w:sz w:val="24"/>
        </w:rPr>
      </w:pPr>
    </w:p>
    <w:p>
      <w:pPr>
        <w:adjustRightInd w:val="0"/>
        <w:snapToGrid w:val="0"/>
        <w:spacing w:line="400" w:lineRule="exact"/>
        <w:jc w:val="center"/>
        <w:rPr>
          <w:rFonts w:ascii="仿宋" w:hAnsi="仿宋" w:eastAsia="仿宋" w:cs="Times New Roman"/>
          <w:sz w:val="24"/>
        </w:rPr>
      </w:pPr>
      <w:r>
        <w:rPr>
          <w:rFonts w:hint="eastAsia" w:ascii="仿宋" w:hAnsi="仿宋" w:eastAsia="仿宋" w:cs="Times New Roman"/>
          <w:sz w:val="24"/>
        </w:rPr>
        <w:t>商务评分表（15分）</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65"/>
        <w:gridCol w:w="543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w:t>
            </w:r>
          </w:p>
        </w:tc>
        <w:tc>
          <w:tcPr>
            <w:tcW w:w="625"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商务分</w:t>
            </w:r>
          </w:p>
        </w:tc>
        <w:tc>
          <w:tcPr>
            <w:tcW w:w="3190"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评分因素具体内容</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69"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1.1</w:t>
            </w:r>
          </w:p>
        </w:tc>
        <w:tc>
          <w:tcPr>
            <w:tcW w:w="625"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业绩分</w:t>
            </w:r>
          </w:p>
        </w:tc>
        <w:tc>
          <w:tcPr>
            <w:tcW w:w="3190"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投标人2020年至今(以合同签订时间或中标通知书的时间为准)具有在线精品课程开发制作服务等类似项目业绩，每提供一份合同或中标通知书，得5分，最高得15分。</w:t>
            </w:r>
          </w:p>
        </w:tc>
        <w:tc>
          <w:tcPr>
            <w:tcW w:w="814" w:type="pct"/>
            <w:vAlign w:val="center"/>
          </w:tcPr>
          <w:p>
            <w:pPr>
              <w:adjustRightInd w:val="0"/>
              <w:snapToGrid w:val="0"/>
              <w:spacing w:line="400" w:lineRule="exact"/>
              <w:rPr>
                <w:rFonts w:ascii="仿宋" w:hAnsi="仿宋" w:eastAsia="仿宋" w:cs="Times New Roman"/>
                <w:sz w:val="24"/>
              </w:rPr>
            </w:pPr>
            <w:r>
              <w:rPr>
                <w:rFonts w:hint="eastAsia" w:ascii="仿宋" w:hAnsi="仿宋" w:eastAsia="仿宋" w:cs="Times New Roman"/>
                <w:sz w:val="24"/>
              </w:rPr>
              <w:t>15分</w:t>
            </w:r>
          </w:p>
        </w:tc>
      </w:tr>
    </w:tbl>
    <w:p>
      <w:pPr>
        <w:adjustRightInd w:val="0"/>
        <w:snapToGrid w:val="0"/>
        <w:spacing w:line="600" w:lineRule="exact"/>
        <w:ind w:firstLine="480" w:firstLineChars="200"/>
        <w:rPr>
          <w:rFonts w:ascii="仿宋" w:hAnsi="仿宋" w:eastAsia="仿宋" w:cs="Times New Roman"/>
          <w:sz w:val="24"/>
        </w:rPr>
      </w:pPr>
    </w:p>
    <w:p>
      <w:pPr>
        <w:adjustRightInd w:val="0"/>
        <w:snapToGrid w:val="0"/>
        <w:spacing w:line="600" w:lineRule="exact"/>
        <w:ind w:firstLine="482" w:firstLineChars="200"/>
        <w:rPr>
          <w:rFonts w:cs="仿宋" w:asciiTheme="minorEastAsia" w:hAnsiTheme="minorEastAsia"/>
          <w:b/>
          <w:bCs/>
          <w:sz w:val="24"/>
        </w:rPr>
      </w:pPr>
      <w:r>
        <w:rPr>
          <w:rFonts w:hint="eastAsia" w:cs="仿宋" w:asciiTheme="minorEastAsia" w:hAnsiTheme="minorEastAsia"/>
          <w:b/>
          <w:bCs/>
          <w:sz w:val="24"/>
        </w:rPr>
        <w:t>三、成交候选人推荐原则</w:t>
      </w:r>
    </w:p>
    <w:p>
      <w:pPr>
        <w:adjustRightInd w:val="0"/>
        <w:snapToGrid w:val="0"/>
        <w:spacing w:line="600" w:lineRule="exact"/>
        <w:ind w:firstLine="480" w:firstLineChars="200"/>
        <w:rPr>
          <w:rFonts w:cs="仿宋" w:asciiTheme="minorEastAsia" w:hAnsiTheme="minorEastAsia"/>
          <w:sz w:val="24"/>
        </w:rPr>
      </w:pPr>
      <w:r>
        <w:rPr>
          <w:rFonts w:hint="eastAsia" w:cs="仿宋" w:asciiTheme="minorEastAsia" w:hAnsiTheme="minorEastAsia"/>
          <w:sz w:val="24"/>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pPr>
        <w:adjustRightInd w:val="0"/>
        <w:snapToGrid w:val="0"/>
        <w:spacing w:line="600" w:lineRule="exact"/>
        <w:jc w:val="center"/>
        <w:rPr>
          <w:rFonts w:asciiTheme="minorEastAsia" w:hAnsiTheme="minorEastAsia"/>
          <w:sz w:val="24"/>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61585D5A"/>
    <w:rsid w:val="6158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2024-07-09T03:42:00Z</dcterms:created>
  <dc:creator>Administrator</dc:creator>
  <cp:lastModifiedBy>Administrator</cp:lastModifiedBy>
  <dcterms:modified xsi:type="dcterms:W3CDTF">2024-07-09T03:43:20Z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B0C9402E4266484A8B77C32D55ABE9A0_11</vt:lpwstr>
  </property>
</Properties>
</file>