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color w:val="000000"/>
          <w:kern w:val="0"/>
          <w:sz w:val="28"/>
          <w:szCs w:val="28"/>
          <w:lang w:bidi="ar"/>
        </w:rPr>
      </w:pPr>
      <w:bookmarkStart w:id="1" w:name="_GoBack"/>
      <w:r>
        <w:rPr>
          <w:rFonts w:hint="eastAsia" w:ascii="宋体" w:hAnsi="宋体" w:eastAsia="宋体" w:cs="宋体"/>
          <w:b/>
          <w:bCs/>
          <w:color w:val="000000"/>
          <w:kern w:val="0"/>
          <w:sz w:val="28"/>
          <w:szCs w:val="28"/>
          <w:lang w:bidi="ar"/>
        </w:rPr>
        <w:t>附件二</w:t>
      </w:r>
      <w:bookmarkStart w:id="0" w:name="_Toc49873391"/>
      <w:r>
        <w:rPr>
          <w:rFonts w:hint="eastAsia" w:ascii="宋体" w:hAnsi="宋体" w:eastAsia="宋体" w:cs="宋体"/>
          <w:b/>
          <w:bCs/>
          <w:color w:val="000000"/>
          <w:kern w:val="0"/>
          <w:sz w:val="28"/>
          <w:szCs w:val="28"/>
          <w:lang w:bidi="ar"/>
        </w:rPr>
        <w:t>：评标</w:t>
      </w:r>
      <w:bookmarkEnd w:id="0"/>
      <w:r>
        <w:rPr>
          <w:rFonts w:hint="eastAsia" w:ascii="宋体" w:hAnsi="宋体" w:eastAsia="宋体" w:cs="宋体"/>
          <w:b/>
          <w:bCs/>
          <w:color w:val="000000"/>
          <w:kern w:val="0"/>
          <w:sz w:val="28"/>
          <w:szCs w:val="28"/>
          <w:lang w:bidi="ar"/>
        </w:rPr>
        <w:t>标准</w:t>
      </w:r>
      <w:bookmarkEnd w:id="1"/>
    </w:p>
    <w:tbl>
      <w:tblPr>
        <w:tblStyle w:val="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953"/>
        <w:gridCol w:w="720"/>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859" w:type="dxa"/>
            <w:gridSpan w:val="2"/>
            <w:vAlign w:val="center"/>
          </w:tcPr>
          <w:p>
            <w:pPr>
              <w:adjustRightInd w:val="0"/>
              <w:spacing w:line="40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评价因素</w:t>
            </w:r>
          </w:p>
        </w:tc>
        <w:tc>
          <w:tcPr>
            <w:tcW w:w="720" w:type="dxa"/>
            <w:vAlign w:val="center"/>
          </w:tcPr>
          <w:p>
            <w:pPr>
              <w:adjustRightInd w:val="0"/>
              <w:spacing w:line="40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分值</w:t>
            </w:r>
          </w:p>
        </w:tc>
        <w:tc>
          <w:tcPr>
            <w:tcW w:w="6203" w:type="dxa"/>
            <w:vAlign w:val="center"/>
          </w:tcPr>
          <w:p>
            <w:pPr>
              <w:adjustRightInd w:val="0"/>
              <w:spacing w:line="40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价格</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20分</w:t>
            </w: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商务报价</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20</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lang w:val="zh-CN"/>
              </w:rPr>
              <w:t>以本次投标报价平均值为基准价，各投标人报价以评标基准价为最优得分，每高于基准价2％扣1分，每低于基准价2％扣0.5分；不足2％部分按内插法计算，小数点后保留两位小数。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Merge w:val="restart"/>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技术</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53分</w:t>
            </w: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项目实施方案</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18</w:t>
            </w:r>
          </w:p>
        </w:tc>
        <w:tc>
          <w:tcPr>
            <w:tcW w:w="6203" w:type="dxa"/>
            <w:tcBorders>
              <w:bottom w:val="single" w:color="auto" w:sz="4" w:space="0"/>
            </w:tcBorders>
            <w:vAlign w:val="center"/>
          </w:tcPr>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根据对整体项目的理解程度情况，实施方案、系统架构组建方案、后期运营方案以及系统设备功能扩展应用方案，人员配备、分工、实施准备、进度安排、质量控制、检测及验收、项目移交等方面描述：</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一档（4分）：供应商对本项目的理解、项目实施计划、技术人员安排表述一般，能提供较完整的实施方案，没有明显的技术错误，技术及实施方案较简单，方案描述不够清晰，描述不够具体，无法说明其可行性，列入第一档。</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二档（9分）：供应商对本项目的理解、项目实施计划、技术人员表安排表述清晰、完整、严谨、合理，能够提供较完整的实施方案，阐述清楚产品的功能，功能描述相对具体，基本符合项目的需要，论证基本准确列入第二档。</w:t>
            </w:r>
          </w:p>
          <w:p>
            <w:pPr>
              <w:spacing w:line="400" w:lineRule="exact"/>
              <w:ind w:firstLine="480" w:firstLineChars="200"/>
              <w:textAlignment w:val="baseline"/>
              <w:rPr>
                <w:rFonts w:ascii="宋体" w:hAnsi="宋体" w:eastAsia="宋体" w:cs="宋体"/>
                <w:sz w:val="24"/>
                <w:szCs w:val="24"/>
              </w:rPr>
            </w:pPr>
            <w:r>
              <w:rPr>
                <w:rFonts w:hint="eastAsia" w:ascii="宋体" w:hAnsi="宋体" w:eastAsia="宋体" w:cs="宋体"/>
                <w:bCs/>
                <w:sz w:val="24"/>
                <w:szCs w:val="24"/>
              </w:rPr>
              <w:t>三档（18分）：供应商对本项目的理解、项目实施计划、技术人员表安排表述清晰、完整、严谨、合理，能够完整提供完整可行的实施方案，方案完全符合项目要求，且方案完整全面，阐述清楚各产品的功能，各个产品功能描述具体详细，完全满足项目需要；能够完全满足采购文件中的功能要求、性能要求和实施要求；在此基础上充分了解采购方的实际情况和需求，针对项目核心风险点进行分析，并提出具有针对性的合理化建议及切实可行的解决方案和应对措施，服务响应措施；对采购人实际情况和未来发展有针对性的设计及合理化建议，列入第三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在产品的技术参数中，对标 (▲号)条款的响应程度进行评审</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10</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横向对比有效投标人所投产品带和“▲”条款的技术规格、参数指标，结合投标人产品材料的提供情况进行评比。</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每负偏离“▲”条款的，每个扣2分，扣完为止。</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非“▲”条款每个不满足者扣1分，扣完为止。</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提供虚假参数及证明文件者，取消投标资格，中标后取消中标资格。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系统演示</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（投标人须真实产品进行演示，具体演示内容见各项评审因素要求；演示时间：不得超过20分钟。）</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【注：因不是现场开标投标人需进行演示视频录制好装U盘中与报价文件装一个文件袋中。】</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25</w:t>
            </w:r>
          </w:p>
        </w:tc>
        <w:tc>
          <w:tcPr>
            <w:tcW w:w="6203" w:type="dxa"/>
            <w:vAlign w:val="center"/>
          </w:tcPr>
          <w:p>
            <w:pPr>
              <w:adjustRightInd w:val="0"/>
              <w:spacing w:line="400" w:lineRule="exact"/>
              <w:ind w:firstLine="420" w:firstLineChars="175"/>
              <w:textAlignment w:val="baseline"/>
              <w:rPr>
                <w:rFonts w:ascii="宋体" w:hAnsi="宋体" w:eastAsia="宋体" w:cs="宋体"/>
                <w:bCs/>
                <w:sz w:val="24"/>
                <w:szCs w:val="24"/>
                <w:lang w:val="zh-CN"/>
              </w:rPr>
            </w:pPr>
            <w:r>
              <w:rPr>
                <w:rFonts w:hint="eastAsia" w:ascii="宋体" w:hAnsi="宋体" w:eastAsia="宋体" w:cs="宋体"/>
                <w:sz w:val="24"/>
                <w:szCs w:val="24"/>
                <w:lang w:val="zh-CN"/>
              </w:rPr>
              <w:t>演示必须是现场操作演示，不接受视频动画、PPT、图像、图片的演示</w:t>
            </w:r>
            <w:r>
              <w:rPr>
                <w:rFonts w:hint="eastAsia" w:ascii="宋体" w:hAnsi="宋体" w:eastAsia="宋体" w:cs="宋体"/>
                <w:bCs/>
                <w:sz w:val="24"/>
                <w:szCs w:val="24"/>
                <w:lang w:val="zh-CN"/>
              </w:rPr>
              <w:t>。</w:t>
            </w:r>
          </w:p>
          <w:p>
            <w:pPr>
              <w:adjustRightInd w:val="0"/>
              <w:spacing w:line="400" w:lineRule="exact"/>
              <w:ind w:firstLine="420" w:firstLineChars="175"/>
              <w:textAlignment w:val="baseline"/>
              <w:rPr>
                <w:rFonts w:hint="eastAsia" w:ascii="宋体" w:hAnsi="宋体" w:eastAsia="宋体" w:cs="宋体"/>
                <w:sz w:val="24"/>
                <w:szCs w:val="24"/>
                <w:lang w:val="zh-CN"/>
              </w:rPr>
            </w:pPr>
            <w:r>
              <w:rPr>
                <w:rFonts w:hint="eastAsia" w:ascii="宋体" w:hAnsi="宋体" w:eastAsia="宋体" w:cs="宋体"/>
                <w:sz w:val="24"/>
                <w:szCs w:val="24"/>
              </w:rPr>
              <w:t>1、资源建设：教师在教学资源库建设时可以从平台内置资源中添加电子图书和学术视频，并可以直接进行在线阅读；教师也可以添加平台中的共享资源到教学资源库中。（</w:t>
            </w:r>
            <w:r>
              <w:rPr>
                <w:rFonts w:hint="eastAsia" w:ascii="宋体" w:hAnsi="宋体" w:eastAsia="宋体" w:cs="宋体"/>
                <w:sz w:val="24"/>
                <w:szCs w:val="24"/>
                <w:lang w:val="zh-CN"/>
              </w:rPr>
              <w:t xml:space="preserve">2分） </w:t>
            </w:r>
          </w:p>
          <w:p>
            <w:pPr>
              <w:adjustRightInd w:val="0"/>
              <w:spacing w:line="400" w:lineRule="exact"/>
              <w:ind w:firstLine="420" w:firstLineChars="175"/>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2、提供应用管理；支持应用市场、自建应用、应用引擎等多种应用添加模式。针对学校需求，可以通过系统提供不同的引擎类型进行自建应用，包含表单类、资源类、展示类、查询类、图表类等引擎去搭建轻应用。表单和审批引擎可以支持添加单选、多选、单行输入、多行输入、日期、附件等多种字段，搭建日常所需表单，如：满意度调查表、信息统计表、工作日/周/月报表等。</w:t>
            </w:r>
          </w:p>
          <w:p>
            <w:pPr>
              <w:adjustRightInd w:val="0"/>
              <w:spacing w:line="400" w:lineRule="exact"/>
              <w:ind w:firstLine="420" w:firstLineChars="175"/>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支持一键发放，并且支持通知、站内信函、消息、生成二维码等多种发放方式。支持通过自建方式对接第三方应用。提供移动端、PC端、管理端地址填写入口。（2分）</w:t>
            </w:r>
          </w:p>
          <w:p>
            <w:pPr>
              <w:adjustRightInd w:val="0"/>
              <w:spacing w:line="400" w:lineRule="exact"/>
              <w:ind w:firstLine="420" w:firstLineChars="175"/>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3、资源监测数据大屏：可查看全校资源总量与各类型资源总量；全校各院系上传资源排行；全校题库试题总量与各题型总量。教学大数据动态展示屏，支持设置屏幕轮播切换时长；设置屏幕数据统计范围（全校或某个学院）；可设置屏幕数据统计课程类别（2分）</w:t>
            </w:r>
          </w:p>
          <w:p>
            <w:pPr>
              <w:adjustRightInd w:val="0"/>
              <w:spacing w:line="400" w:lineRule="exact"/>
              <w:ind w:firstLine="420" w:firstLineChars="175"/>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4、支持知识点拓展阅读功能，可以根据一个关键词自动生成相关知识点的知识树，插入到课程单元中，并自动推送知识点相关的图书、期刊、论文等资料。（2分）</w:t>
            </w:r>
          </w:p>
          <w:p>
            <w:pPr>
              <w:adjustRightInd w:val="0"/>
              <w:spacing w:line="400" w:lineRule="exact"/>
              <w:ind w:firstLine="420" w:firstLineChars="175"/>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5、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lang w:val="zh-CN"/>
              </w:rPr>
              <w:t>6、笔记功能：学生可以通过图片、录音、文字、链接、位置等方式记录学习内容</w:t>
            </w:r>
            <w:r>
              <w:rPr>
                <w:rFonts w:hint="eastAsia" w:ascii="宋体" w:hAnsi="宋体" w:eastAsia="宋体" w:cs="宋体"/>
                <w:sz w:val="24"/>
                <w:szCs w:val="24"/>
              </w:rPr>
              <w:t>，同时录音内容支持实时智能识别，转换成文字内容；并且支持打点记录学习或会议内容。（2分）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7、课程引用资源：教师建设网络课程时，可通过系统推荐或者自行检索将教学资源库中的资源引用到网络课程章节中，并可以设置成为任务点，丰富课程资源。课程资源推送到资源库：可以将教师在网络教学平台中建好的网络课程资源直接推送至教学资源库中进行共享。（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8、门户管理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 xml:space="preserve">（1）门户提供不少于10套门户样式风格模版，选择模板后可快速生成含部分常用应用模块的页面。支持对模板内容进行编辑调整，提供背景设置、主题颜色设置，页面上的应用、图标等相关元素自主实现与主题色统一。 </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2）系统提供相应的模块配置，分为布局、基础、应用和全局模块来管理。布局模块提供页面常用布局框架，拖拽入布局中的模块自适应排版。提供基础模块用以生成网站应用模块和页面，满足绝大部分网站内容的展现形式。支持可视化的拖拽和设置，随时自主改变模块尺寸大小、位置和样式。（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9、教师备课：教师可以在移动端中的活动库中，设置移动教案。按照教学计划，教师可提前在移动端上组织教学内容，有序安排资料推送、签到、问答、抢答、投票等教学活动，方便课堂发放并易于复用。（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10、课堂互动功能：教师通过移动端进行课件投屏，PPT投屏演示保留动画效果，播放流畅。投屏时手机端和PC端界面同步，投屏过程中提供选人、抢答、分组任务、白板、主题讨论等教学环节，并能直接在投屏上展示结果数据。（</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adjustRightInd w:val="0"/>
              <w:spacing w:line="400" w:lineRule="exact"/>
              <w:ind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11、教师可以在课程中发布课程通知。</w:t>
            </w:r>
          </w:p>
          <w:p>
            <w:pPr>
              <w:adjustRightInd w:val="0"/>
              <w:spacing w:line="400" w:lineRule="exact"/>
              <w:ind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移动端能针对学校的组织机构、班级等不同的范围发放通知，并能及时统计到已读和未读人员名单。</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并且可与移动端打通，无缝对接。针对未读通知，支持短信提醒、电话提醒、微信提醒等提醒方式。（</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12、提供字幕翻译：观看章节视频时支持选择语言显示翻译字幕，通过多语言智能翻译，课程实时呈现双语</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字幕，实现国际化教学过程中的无障碍交流。（2分）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13、移动端资源引用：移动客户端中，教师可以在课堂教学中引用教学资源库中的资源，在教案中引入PPT，可以在课程章节中引用教学资源库素材资源，可以在作业或者考试中引用教学资源题库资源。（2分）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1D3C40BC"/>
    <w:rsid w:val="1D3C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2024-11-18T07:12:00Z</dcterms:created>
  <dc:creator>Administrator</dc:creator>
  <cp:lastModifiedBy>Administrator</cp:lastModifiedBy>
  <dcterms:modified xsi:type="dcterms:W3CDTF">2024-11-18T07:12:59Z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3A741980A4A24C89AB39139856625254_11</vt:lpwstr>
  </property>
</Properties>
</file>