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5" w:firstLineChars="201"/>
        <w:rPr>
          <w:b/>
          <w:bCs/>
          <w:sz w:val="28"/>
          <w:szCs w:val="36"/>
        </w:rPr>
      </w:pPr>
      <w:r>
        <w:rPr>
          <w:rFonts w:hint="eastAsia"/>
          <w:b/>
          <w:bCs/>
          <w:sz w:val="28"/>
          <w:szCs w:val="36"/>
        </w:rPr>
        <w:t>附件一：采购需求</w:t>
      </w:r>
    </w:p>
    <w:p>
      <w:pPr>
        <w:numPr>
          <w:ilvl w:val="0"/>
          <w:numId w:val="1"/>
        </w:numPr>
        <w:spacing w:after="156" w:afterLines="50"/>
        <w:ind w:firstLine="562"/>
        <w:rPr>
          <w:rFonts w:asciiTheme="minorEastAsia" w:hAnsiTheme="minorEastAsia" w:cstheme="minorEastAsia"/>
          <w:b/>
          <w:sz w:val="28"/>
          <w:szCs w:val="28"/>
        </w:rPr>
      </w:pPr>
      <w:r>
        <w:rPr>
          <w:rFonts w:ascii="宋体" w:hAnsi="宋体" w:cs="宋体"/>
          <w:b/>
        </w:rPr>
        <w:t xml:space="preserve"> </w:t>
      </w:r>
      <w:r>
        <w:rPr>
          <w:rFonts w:hint="eastAsia" w:asciiTheme="minorEastAsia" w:hAnsiTheme="minorEastAsia" w:cstheme="minorEastAsia"/>
          <w:b/>
          <w:sz w:val="28"/>
          <w:szCs w:val="28"/>
        </w:rPr>
        <w:t>项目参</w:t>
      </w:r>
      <w:r>
        <w:rPr>
          <w:rFonts w:hint="eastAsia" w:asciiTheme="minorEastAsia" w:hAnsiTheme="minorEastAsia" w:cstheme="minorEastAsia"/>
          <w:b/>
          <w:sz w:val="28"/>
          <w:szCs w:val="28"/>
          <w:lang w:eastAsia="zh-CN"/>
        </w:rPr>
        <w:t>数</w:t>
      </w:r>
    </w:p>
    <w:p>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bCs/>
          <w:sz w:val="24"/>
        </w:rPr>
        <w:t>1.投标人须对本项目为单位的采购标的进行整体响应，任何只对采购标的其中一部分内容进行的响应都被视为无效投标。</w:t>
      </w:r>
    </w:p>
    <w:p>
      <w:pPr>
        <w:snapToGrid w:val="0"/>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2.投标人报价需满足用户需求书中所列的技术参数要求，如有涉及到产品的具体品牌、型号的，仅供投标人投标参考，并无指定，投标人可选用技术参数优于或等于的货物进行投标，并列明详细的技术参数、品牌、型号及生产厂家等。</w:t>
      </w:r>
    </w:p>
    <w:p>
      <w:pPr>
        <w:snapToGrid w:val="0"/>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lang w:val="en-US" w:eastAsia="zh-CN"/>
        </w:rPr>
        <w:t>3</w:t>
      </w:r>
      <w:r>
        <w:rPr>
          <w:rFonts w:hint="eastAsia" w:asciiTheme="minorEastAsia" w:hAnsiTheme="minorEastAsia" w:cstheme="minorEastAsia"/>
          <w:bCs/>
          <w:sz w:val="24"/>
        </w:rPr>
        <w:t>.投标报价（总价）中不得包含招标文件要求以外的内容，否则，在评标时不予核减。若投标报价有缺漏项的，缺漏项部分的价格视为已包含在投标报价中，中标后不作任何调整。</w:t>
      </w:r>
    </w:p>
    <w:p>
      <w:pPr>
        <w:spacing w:before="0" w:after="0" w:line="240" w:lineRule="auto"/>
        <w:jc w:val="center"/>
        <w:outlineLvl w:val="9"/>
        <w:rPr>
          <w:rFonts w:hint="eastAsia" w:eastAsiaTheme="minorEastAsia"/>
          <w:color w:val="FF0000"/>
          <w:lang w:val="en-US" w:eastAsia="zh-CN"/>
        </w:rPr>
      </w:pPr>
      <w:r>
        <w:rPr>
          <w:rFonts w:hint="eastAsia"/>
          <w:sz w:val="28"/>
          <w:szCs w:val="28"/>
          <w:lang w:val="en-US" w:eastAsia="zh-CN"/>
        </w:rPr>
        <w:t>教师教学能力大赛服务项目</w:t>
      </w:r>
      <w:r>
        <w:rPr>
          <w:rFonts w:hint="eastAsia"/>
          <w:sz w:val="28"/>
          <w:szCs w:val="28"/>
        </w:rPr>
        <w:t>建设</w:t>
      </w:r>
      <w:r>
        <w:rPr>
          <w:rFonts w:hint="eastAsia"/>
          <w:sz w:val="28"/>
          <w:szCs w:val="28"/>
          <w:lang w:val="en-US" w:eastAsia="zh-CN"/>
        </w:rPr>
        <w:t>货物（或服务）采购需求</w:t>
      </w:r>
    </w:p>
    <w:tbl>
      <w:tblPr>
        <w:tblStyle w:val="13"/>
        <w:tblW w:w="5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532"/>
        <w:gridCol w:w="272"/>
        <w:gridCol w:w="449"/>
        <w:gridCol w:w="5684"/>
        <w:gridCol w:w="841"/>
        <w:gridCol w:w="507"/>
        <w:gridCol w:w="889"/>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23" w:type="pct"/>
            <w:vAlign w:val="center"/>
          </w:tcPr>
          <w:p>
            <w:pPr>
              <w:widowControl/>
              <w:spacing w:line="320" w:lineRule="exact"/>
              <w:outlineLvl w:val="9"/>
              <w:rPr>
                <w:rFonts w:hint="eastAsia" w:ascii="仿宋" w:hAnsi="仿宋" w:eastAsia="仿宋" w:cs="仿宋"/>
                <w:b/>
                <w:bCs/>
                <w:kern w:val="0"/>
                <w:szCs w:val="21"/>
              </w:rPr>
            </w:pPr>
            <w:r>
              <w:rPr>
                <w:rFonts w:hint="eastAsia" w:ascii="仿宋" w:hAnsi="仿宋" w:eastAsia="仿宋" w:cs="仿宋"/>
                <w:b/>
                <w:bCs/>
                <w:kern w:val="0"/>
                <w:szCs w:val="21"/>
              </w:rPr>
              <w:t>项号</w:t>
            </w:r>
          </w:p>
        </w:tc>
        <w:tc>
          <w:tcPr>
            <w:tcW w:w="387" w:type="pct"/>
            <w:gridSpan w:val="2"/>
            <w:vAlign w:val="center"/>
          </w:tcPr>
          <w:p>
            <w:pPr>
              <w:widowControl/>
              <w:spacing w:line="320" w:lineRule="exact"/>
              <w:jc w:val="center"/>
              <w:outlineLvl w:val="9"/>
              <w:rPr>
                <w:rFonts w:hint="eastAsia" w:ascii="仿宋" w:hAnsi="仿宋" w:eastAsia="仿宋" w:cs="仿宋"/>
                <w:b/>
                <w:bCs/>
                <w:kern w:val="0"/>
                <w:szCs w:val="21"/>
              </w:rPr>
            </w:pPr>
            <w:r>
              <w:rPr>
                <w:rFonts w:hint="eastAsia" w:ascii="仿宋" w:hAnsi="仿宋" w:eastAsia="仿宋" w:cs="仿宋"/>
                <w:b/>
                <w:bCs/>
                <w:kern w:val="0"/>
                <w:szCs w:val="21"/>
              </w:rPr>
              <w:t>服务项目名称</w:t>
            </w:r>
          </w:p>
        </w:tc>
        <w:tc>
          <w:tcPr>
            <w:tcW w:w="216" w:type="pct"/>
            <w:vAlign w:val="center"/>
          </w:tcPr>
          <w:p>
            <w:pPr>
              <w:widowControl/>
              <w:spacing w:line="320" w:lineRule="exact"/>
              <w:jc w:val="center"/>
              <w:outlineLvl w:val="9"/>
              <w:rPr>
                <w:rFonts w:hint="eastAsia" w:ascii="仿宋" w:hAnsi="仿宋" w:eastAsia="仿宋" w:cs="仿宋"/>
                <w:b/>
                <w:bCs/>
                <w:kern w:val="0"/>
                <w:szCs w:val="21"/>
              </w:rPr>
            </w:pPr>
            <w:r>
              <w:rPr>
                <w:rFonts w:hint="eastAsia" w:ascii="仿宋" w:hAnsi="仿宋" w:eastAsia="仿宋" w:cs="仿宋"/>
                <w:b/>
                <w:bCs/>
                <w:kern w:val="0"/>
                <w:szCs w:val="21"/>
              </w:rPr>
              <w:t>数量单位</w:t>
            </w:r>
          </w:p>
        </w:tc>
        <w:tc>
          <w:tcPr>
            <w:tcW w:w="2742" w:type="pct"/>
            <w:vAlign w:val="center"/>
          </w:tcPr>
          <w:p>
            <w:pPr>
              <w:spacing w:line="320" w:lineRule="exact"/>
              <w:jc w:val="center"/>
              <w:outlineLvl w:val="9"/>
              <w:rPr>
                <w:rFonts w:hint="eastAsia" w:ascii="仿宋" w:hAnsi="仿宋" w:eastAsia="仿宋" w:cs="仿宋"/>
                <w:b/>
                <w:bCs/>
                <w:kern w:val="0"/>
                <w:szCs w:val="21"/>
              </w:rPr>
            </w:pPr>
            <w:r>
              <w:rPr>
                <w:rFonts w:hint="eastAsia" w:ascii="仿宋" w:hAnsi="仿宋" w:eastAsia="仿宋" w:cs="仿宋"/>
                <w:b/>
                <w:bCs/>
                <w:kern w:val="0"/>
                <w:szCs w:val="21"/>
                <w:lang w:val="en-US" w:eastAsia="zh-CN"/>
              </w:rPr>
              <w:t>货物（</w:t>
            </w:r>
            <w:r>
              <w:rPr>
                <w:rFonts w:hint="eastAsia" w:ascii="仿宋" w:hAnsi="仿宋" w:eastAsia="仿宋" w:cs="仿宋"/>
                <w:b/>
                <w:bCs/>
                <w:kern w:val="0"/>
                <w:szCs w:val="21"/>
              </w:rPr>
              <w:t>服务</w:t>
            </w:r>
            <w:r>
              <w:rPr>
                <w:rFonts w:hint="eastAsia" w:ascii="仿宋" w:hAnsi="仿宋" w:eastAsia="仿宋" w:cs="仿宋"/>
                <w:b/>
                <w:bCs/>
                <w:kern w:val="0"/>
                <w:szCs w:val="21"/>
                <w:lang w:eastAsia="zh-CN"/>
              </w:rPr>
              <w:t>）</w:t>
            </w:r>
            <w:r>
              <w:rPr>
                <w:rFonts w:hint="eastAsia" w:ascii="仿宋" w:hAnsi="仿宋" w:eastAsia="仿宋" w:cs="仿宋"/>
                <w:b/>
                <w:bCs/>
                <w:kern w:val="0"/>
                <w:szCs w:val="21"/>
              </w:rPr>
              <w:t>内容及具体要求、技术参数</w:t>
            </w:r>
          </w:p>
        </w:tc>
        <w:tc>
          <w:tcPr>
            <w:tcW w:w="405" w:type="pct"/>
            <w:vAlign w:val="center"/>
          </w:tcPr>
          <w:p>
            <w:pPr>
              <w:spacing w:line="320" w:lineRule="exact"/>
              <w:jc w:val="center"/>
              <w:outlineLvl w:val="9"/>
              <w:rPr>
                <w:rFonts w:hint="eastAsia" w:ascii="仿宋" w:hAnsi="仿宋" w:eastAsia="仿宋" w:cs="仿宋"/>
                <w:b/>
                <w:bCs/>
                <w:kern w:val="0"/>
                <w:szCs w:val="21"/>
              </w:rPr>
            </w:pPr>
            <w:r>
              <w:rPr>
                <w:rFonts w:hint="eastAsia" w:ascii="仿宋" w:hAnsi="仿宋" w:eastAsia="仿宋" w:cs="仿宋"/>
                <w:b/>
                <w:bCs/>
                <w:kern w:val="0"/>
                <w:szCs w:val="21"/>
              </w:rPr>
              <w:t>单价（元）</w:t>
            </w:r>
          </w:p>
        </w:tc>
        <w:tc>
          <w:tcPr>
            <w:tcW w:w="244" w:type="pct"/>
            <w:vAlign w:val="center"/>
          </w:tcPr>
          <w:p>
            <w:pPr>
              <w:spacing w:line="320" w:lineRule="exact"/>
              <w:jc w:val="center"/>
              <w:outlineLvl w:val="9"/>
              <w:rPr>
                <w:rFonts w:hint="eastAsia" w:ascii="仿宋" w:hAnsi="仿宋" w:eastAsia="仿宋" w:cs="仿宋"/>
                <w:b/>
                <w:bCs/>
                <w:kern w:val="0"/>
                <w:szCs w:val="21"/>
              </w:rPr>
            </w:pPr>
            <w:r>
              <w:rPr>
                <w:rFonts w:hint="eastAsia" w:ascii="仿宋" w:hAnsi="仿宋" w:eastAsia="仿宋" w:cs="仿宋"/>
                <w:b/>
                <w:bCs/>
                <w:kern w:val="0"/>
                <w:szCs w:val="21"/>
              </w:rPr>
              <w:t>数量</w:t>
            </w:r>
          </w:p>
        </w:tc>
        <w:tc>
          <w:tcPr>
            <w:tcW w:w="428" w:type="pct"/>
            <w:vAlign w:val="center"/>
          </w:tcPr>
          <w:p>
            <w:pPr>
              <w:spacing w:line="320" w:lineRule="exact"/>
              <w:jc w:val="center"/>
              <w:outlineLvl w:val="9"/>
              <w:rPr>
                <w:rFonts w:hint="eastAsia" w:ascii="仿宋" w:hAnsi="仿宋" w:eastAsia="仿宋" w:cs="仿宋"/>
                <w:b/>
                <w:bCs/>
                <w:kern w:val="0"/>
                <w:szCs w:val="21"/>
              </w:rPr>
            </w:pPr>
            <w:r>
              <w:rPr>
                <w:rFonts w:hint="eastAsia" w:ascii="仿宋" w:hAnsi="仿宋" w:eastAsia="仿宋" w:cs="仿宋"/>
                <w:b/>
                <w:bCs/>
                <w:kern w:val="0"/>
                <w:szCs w:val="21"/>
              </w:rPr>
              <w:t>合计（元）</w:t>
            </w:r>
          </w:p>
        </w:tc>
        <w:tc>
          <w:tcPr>
            <w:tcW w:w="351" w:type="pct"/>
            <w:vAlign w:val="center"/>
          </w:tcPr>
          <w:p>
            <w:pPr>
              <w:spacing w:line="320" w:lineRule="exact"/>
              <w:jc w:val="center"/>
              <w:outlineLvl w:val="9"/>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3" w:type="pc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87" w:type="pct"/>
            <w:gridSpan w:val="2"/>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outlineLvl w:val="9"/>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问题诊断与需求确定</w:t>
            </w:r>
          </w:p>
        </w:tc>
        <w:tc>
          <w:tcPr>
            <w:tcW w:w="216" w:type="pct"/>
            <w:vAlign w:val="center"/>
          </w:tcPr>
          <w:p>
            <w:pPr>
              <w:widowControl/>
              <w:jc w:val="center"/>
              <w:textAlignment w:val="center"/>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1项</w:t>
            </w:r>
          </w:p>
        </w:tc>
        <w:tc>
          <w:tcPr>
            <w:tcW w:w="2742" w:type="pct"/>
            <w:vAlign w:val="top"/>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1.诊断内容</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（1）根据学校目前教师教学能力比赛领域的成果、现状进行一系列诊断，包括比赛专业、人才培养方案、课程以及教师教学能力等方面进行诊断，从而组建一个教师能力比赛提升团队；</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（2）教师能力比赛培育诊断；</w:t>
            </w:r>
          </w:p>
          <w:p>
            <w:pPr>
              <w:keepNext w:val="0"/>
              <w:keepLines w:val="0"/>
              <w:widowControl/>
              <w:suppressLineNumbers w:val="0"/>
              <w:jc w:val="both"/>
              <w:textAlignment w:val="center"/>
              <w:outlineLvl w:val="9"/>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（3）教师能力比赛与教师教学团队建设规划等。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2.诊断要求：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（1）指导≥8次（每个月进行至少1次线上或线下的指导），线上指导周期为方案编制启动后≥150个工作日（在该服务周期内不定期、不定时指导）。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（2）指导专家至少2人是职业教育方面的专家。</w:t>
            </w:r>
          </w:p>
        </w:tc>
        <w:tc>
          <w:tcPr>
            <w:tcW w:w="405" w:type="pct"/>
            <w:vAlign w:val="center"/>
          </w:tcPr>
          <w:p>
            <w:pPr>
              <w:keepNext w:val="0"/>
              <w:keepLines w:val="0"/>
              <w:widowControl/>
              <w:suppressLineNumbers w:val="0"/>
              <w:jc w:val="center"/>
              <w:textAlignment w:val="center"/>
              <w:outlineLvl w:val="9"/>
              <w:rPr>
                <w:rFonts w:hint="default" w:ascii="仿宋" w:hAnsi="仿宋" w:eastAsia="仿宋" w:cs="仿宋"/>
                <w:b w:val="0"/>
                <w:bCs w:val="0"/>
                <w:kern w:val="0"/>
                <w:sz w:val="24"/>
                <w:szCs w:val="24"/>
                <w:lang w:val="en-US"/>
              </w:rPr>
            </w:pPr>
            <w:r>
              <w:rPr>
                <w:rFonts w:hint="eastAsia" w:ascii="仿宋" w:hAnsi="仿宋" w:eastAsia="仿宋" w:cs="仿宋"/>
                <w:b w:val="0"/>
                <w:bCs w:val="0"/>
                <w:i w:val="0"/>
                <w:iCs w:val="0"/>
                <w:color w:val="000000"/>
                <w:kern w:val="0"/>
                <w:sz w:val="24"/>
                <w:szCs w:val="24"/>
                <w:u w:val="none"/>
                <w:lang w:val="en-US" w:eastAsia="zh-CN" w:bidi="ar"/>
              </w:rPr>
              <w:t>55000</w:t>
            </w:r>
          </w:p>
        </w:tc>
        <w:tc>
          <w:tcPr>
            <w:tcW w:w="244" w:type="pct"/>
            <w:vAlign w:val="center"/>
          </w:tcPr>
          <w:p>
            <w:pPr>
              <w:widowControl/>
              <w:jc w:val="center"/>
              <w:textAlignment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428" w:type="pct"/>
            <w:vAlign w:val="center"/>
          </w:tcPr>
          <w:p>
            <w:pPr>
              <w:keepNext w:val="0"/>
              <w:keepLines w:val="0"/>
              <w:widowControl/>
              <w:suppressLineNumbers w:val="0"/>
              <w:jc w:val="center"/>
              <w:textAlignment w:val="center"/>
              <w:outlineLvl w:val="9"/>
              <w:rPr>
                <w:rFonts w:hint="default" w:ascii="仿宋" w:hAnsi="仿宋" w:eastAsia="仿宋" w:cs="仿宋"/>
                <w:b w:val="0"/>
                <w:bCs w:val="0"/>
                <w:kern w:val="0"/>
                <w:sz w:val="24"/>
                <w:szCs w:val="24"/>
                <w:lang w:val="en-US"/>
              </w:rPr>
            </w:pPr>
            <w:r>
              <w:rPr>
                <w:rFonts w:hint="eastAsia" w:ascii="仿宋" w:hAnsi="仿宋" w:eastAsia="仿宋" w:cs="仿宋"/>
                <w:b w:val="0"/>
                <w:bCs w:val="0"/>
                <w:i w:val="0"/>
                <w:iCs w:val="0"/>
                <w:color w:val="000000"/>
                <w:kern w:val="0"/>
                <w:sz w:val="24"/>
                <w:szCs w:val="24"/>
                <w:u w:val="none"/>
                <w:lang w:val="en-US" w:eastAsia="zh-CN" w:bidi="ar"/>
              </w:rPr>
              <w:t>55000</w:t>
            </w:r>
          </w:p>
        </w:tc>
        <w:tc>
          <w:tcPr>
            <w:tcW w:w="351" w:type="pct"/>
            <w:vAlign w:val="center"/>
          </w:tcPr>
          <w:p>
            <w:pPr>
              <w:widowControl/>
              <w:jc w:val="center"/>
              <w:textAlignment w:val="center"/>
              <w:outlineLvl w:val="9"/>
              <w:rPr>
                <w:rFonts w:hint="eastAsia" w:ascii="仿宋" w:hAnsi="仿宋" w:eastAsia="仿宋" w:cs="仿宋"/>
                <w:kern w:val="0"/>
                <w:sz w:val="24"/>
                <w:szCs w:val="24"/>
              </w:rPr>
            </w:pPr>
            <w:r>
              <w:rPr>
                <w:rFonts w:hint="eastAsia" w:ascii="仿宋" w:hAnsi="仿宋" w:eastAsia="仿宋" w:cs="仿宋"/>
                <w:kern w:val="0"/>
                <w:sz w:val="24"/>
                <w:szCs w:val="24"/>
              </w:rPr>
              <w:t>厂家参照价格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3" w:type="pc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87" w:type="pct"/>
            <w:gridSpan w:val="2"/>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outlineLvl w:val="9"/>
              <w:rPr>
                <w:rFonts w:hint="default" w:ascii="仿宋" w:hAnsi="仿宋" w:eastAsia="仿宋" w:cs="仿宋"/>
                <w:b w:val="0"/>
                <w:bCs w:val="0"/>
                <w:sz w:val="24"/>
                <w:szCs w:val="24"/>
                <w:lang w:val="en-US"/>
              </w:rPr>
            </w:pPr>
            <w:r>
              <w:rPr>
                <w:rFonts w:hint="eastAsia" w:ascii="仿宋" w:hAnsi="仿宋" w:eastAsia="仿宋" w:cs="仿宋"/>
                <w:b w:val="0"/>
                <w:bCs w:val="0"/>
                <w:sz w:val="22"/>
                <w:szCs w:val="22"/>
                <w:lang w:val="en-US" w:eastAsia="zh-CN"/>
              </w:rPr>
              <w:t>微课视频拍摄</w:t>
            </w:r>
          </w:p>
        </w:tc>
        <w:tc>
          <w:tcPr>
            <w:tcW w:w="216" w:type="pct"/>
            <w:vAlign w:val="center"/>
          </w:tcPr>
          <w:p>
            <w:pPr>
              <w:widowControl/>
              <w:jc w:val="center"/>
              <w:textAlignment w:val="center"/>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1项</w:t>
            </w:r>
          </w:p>
        </w:tc>
        <w:tc>
          <w:tcPr>
            <w:tcW w:w="2742" w:type="pct"/>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1.课程视频资源项目建设要求：</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完成6个团队教师教学能力大赛进行拍摄和课堂教学视频的设计、录制、剪辑。</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（1）具体内容标准：“微课”是指以视频为主要载体,满足记录教师在课堂内外教育教学过程中围绕某个知识点或教学环节而开展的精彩教与学活动的全过程的教学视频资源，时长3~8分钟。</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2.拍摄要求</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（1）录制方式：</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根据课程内容拍摄时使用1到2台广播级摄像机/单反相机，设置主机位1台，侧机位1台，具体拍摄需求以课程内容实际安排。</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3.后期制作要求</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（1）片头与片尾</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片头不超过15 秒，要求设计贴合课程内容。应包括：课程名称、主讲教师姓名等信息。</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（2）动画</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要求能满足课程建设内容要求，生动简洁。</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（3）封装</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成片统一采用单一视频形式，MP4等格式封装。</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（4）视频压缩格式及技术参数</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①视频压缩采用H.264编码。</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②视频码流率6000 - 8000Kbs（6M - 8M）。</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③视频分辨率统一设定为 1920*1080。</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④视频画幅宽高比统一设定为 16:9。</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⑤视频帧率为25帧/秒，PAL制式。</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（5）音频压缩格式及技术参数</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①音频压缩采用AAC(MPEG4 Part3)格式。</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②采样率48KHz。</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③音频码流率64Kbps。</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④音频位数：0bits。</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⑤声道数：2 channels。</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（6）视频信号源</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①稳定性：全片图像同步性能稳定，无失步现象，CTL同步控制信号必须连续：图像无抖动跳跃，色彩无突变，编辑点处图像稳定。</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②信噪比：图像信噪比不低于55dB，无明显杂波。</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③色调：白平衡正确，无明显偏色，多机拍摄的镜头衔接处无明显色差。</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④视频电平：视频全讯号幅度为1Ⅴp-p，最大不超过1.1Ⅴp-p。其中，消隐电平为0V时，白电平幅度0.7Ⅴp-p，同步信号-0.3V，色同步信号幅度0.3Vp-p (以消隐线上下对称)，全片一致。</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入电平与输出电平，有些视频切换器还给出输入电平(或输入电压)和输出电平(或输出电压)的技术指标。输入电平是指视频切换器输入端对输入视频信号电压幅度的要求，一般为0.8Vp-p至1.2Vp-p；输出电平是指视频切换器输出端输出电压的幅度标准，一般为1 Vp-p至1.2Vp-p。</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视频信号电压范围+/-2V</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没有其他后果就是屏幕显示不一样）</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（7）音频信号源</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①声道：使用双声道进行录制。</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②电平指标：-2db —— -8db声音应无明显失真、放音过冲、过弱。</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③音频信噪比不低于48db。</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④声音和画面要求同步，无交流声或其他杂音等缺陷。</w:t>
            </w:r>
          </w:p>
          <w:p>
            <w:pPr>
              <w:keepNext w:val="0"/>
              <w:keepLines w:val="0"/>
              <w:widowControl/>
              <w:suppressLineNumbers w:val="0"/>
              <w:jc w:val="both"/>
              <w:textAlignment w:val="center"/>
              <w:outlineLvl w:val="9"/>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⑤伴音清晰、饱满、圆润，无失真、噪声杂音干扰、音量忽大忽小现象。解说声与现场声无明显比例失调，解说声与背景音乐无明显比例失调。</w:t>
            </w:r>
          </w:p>
        </w:tc>
        <w:tc>
          <w:tcPr>
            <w:tcW w:w="405" w:type="pct"/>
            <w:vAlign w:val="center"/>
          </w:tcPr>
          <w:p>
            <w:pPr>
              <w:keepNext w:val="0"/>
              <w:keepLines w:val="0"/>
              <w:widowControl/>
              <w:suppressLineNumbers w:val="0"/>
              <w:jc w:val="center"/>
              <w:textAlignment w:val="center"/>
              <w:outlineLvl w:val="9"/>
              <w:rPr>
                <w:rFonts w:hint="eastAsia" w:ascii="仿宋" w:hAnsi="仿宋" w:eastAsia="仿宋" w:cs="仿宋"/>
                <w:b w:val="0"/>
                <w:bCs w:val="0"/>
                <w:kern w:val="0"/>
                <w:sz w:val="24"/>
                <w:szCs w:val="24"/>
              </w:rPr>
            </w:pPr>
            <w:r>
              <w:rPr>
                <w:rFonts w:hint="eastAsia" w:ascii="仿宋" w:hAnsi="仿宋" w:eastAsia="仿宋" w:cs="仿宋"/>
                <w:b w:val="0"/>
                <w:bCs w:val="0"/>
                <w:i w:val="0"/>
                <w:iCs w:val="0"/>
                <w:color w:val="000000"/>
                <w:kern w:val="0"/>
                <w:sz w:val="24"/>
                <w:szCs w:val="24"/>
                <w:u w:val="none"/>
                <w:lang w:val="en-US" w:eastAsia="zh-CN" w:bidi="ar"/>
              </w:rPr>
              <w:t>50000</w:t>
            </w:r>
          </w:p>
        </w:tc>
        <w:tc>
          <w:tcPr>
            <w:tcW w:w="244" w:type="pct"/>
            <w:vAlign w:val="center"/>
          </w:tcPr>
          <w:p>
            <w:pPr>
              <w:widowControl/>
              <w:jc w:val="center"/>
              <w:textAlignment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428" w:type="pct"/>
            <w:vAlign w:val="center"/>
          </w:tcPr>
          <w:p>
            <w:pPr>
              <w:keepNext w:val="0"/>
              <w:keepLines w:val="0"/>
              <w:widowControl/>
              <w:suppressLineNumbers w:val="0"/>
              <w:jc w:val="center"/>
              <w:textAlignment w:val="center"/>
              <w:outlineLvl w:val="9"/>
              <w:rPr>
                <w:rFonts w:hint="eastAsia" w:ascii="仿宋" w:hAnsi="仿宋" w:eastAsia="仿宋" w:cs="仿宋"/>
                <w:b w:val="0"/>
                <w:bCs w:val="0"/>
                <w:kern w:val="0"/>
                <w:sz w:val="24"/>
                <w:szCs w:val="24"/>
              </w:rPr>
            </w:pPr>
            <w:r>
              <w:rPr>
                <w:rFonts w:hint="eastAsia" w:ascii="仿宋" w:hAnsi="仿宋" w:eastAsia="仿宋" w:cs="仿宋"/>
                <w:b w:val="0"/>
                <w:bCs w:val="0"/>
                <w:i w:val="0"/>
                <w:iCs w:val="0"/>
                <w:color w:val="000000"/>
                <w:kern w:val="0"/>
                <w:sz w:val="24"/>
                <w:szCs w:val="24"/>
                <w:u w:val="none"/>
                <w:lang w:val="en-US" w:eastAsia="zh-CN" w:bidi="ar"/>
              </w:rPr>
              <w:t>50000</w:t>
            </w:r>
          </w:p>
        </w:tc>
        <w:tc>
          <w:tcPr>
            <w:tcW w:w="351" w:type="pct"/>
            <w:shd w:val="clear" w:color="auto" w:fill="auto"/>
            <w:vAlign w:val="center"/>
          </w:tcPr>
          <w:p>
            <w:pPr>
              <w:widowControl/>
              <w:jc w:val="center"/>
              <w:textAlignment w:val="center"/>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厂家参照价格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3" w:type="pc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87" w:type="pct"/>
            <w:gridSpan w:val="2"/>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outlineLvl w:val="9"/>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二维动画</w:t>
            </w:r>
          </w:p>
        </w:tc>
        <w:tc>
          <w:tcPr>
            <w:tcW w:w="216" w:type="pct"/>
            <w:vAlign w:val="center"/>
          </w:tcPr>
          <w:p>
            <w:pPr>
              <w:widowControl/>
              <w:jc w:val="center"/>
              <w:textAlignment w:val="center"/>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1项</w:t>
            </w:r>
          </w:p>
        </w:tc>
        <w:tc>
          <w:tcPr>
            <w:tcW w:w="2742" w:type="pct"/>
            <w:vAlign w:val="top"/>
          </w:tcPr>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1.二维动画资源项目建设要求：</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完成6个团队教师教学能力大赛微课视频二维动画的制作和设计，动画主要指以使用Flash等专业动画设计软件制作完成的二维动画，动画内嵌入学院logo。视频制作软件中自带的转场动画效果、PowerPoint中的动画及课件录屏效果均不包含在此范围内。二维动画素材内容根据微课素材教学内容的要求制作。单个二维动画素材总时长不超过30s。</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（1）制作要求：</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根据课程负责人提供的资料进行二维动画制作，提供高质量的二维动画制作服务，包括角色设计、场景搭建、动画效果等（具体以实际需求为主）。确保动画流畅、逼真，具有吸引力和艺术性。</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（2）脚本梳理：</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提供脚本梳理服务，根据需求梳理内容顺畅，检查文字错别等。</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（3）角色设计：</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根据要求提供角色设计服务，包括主角、配角等角色的外形、服装、表情设计（具体以实际需求为主）。确保角色形象符合预期，能够与目标受众产生共鸣。</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（4）动画制作流程：</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提供清晰的动画制作流程和时间节点安排。</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包括元素设计、内容制作、后期处理等环节。</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（5）音效和配乐：</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提供音效设计和配乐制作服务，确保音频与动画完美结合。</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根据需求选择合适的音效和配乐，增强观众的观赏体验。</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（6）交付成片格式要求：</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确保在各种平台上播放流畅，成片视频采用MP4格式封装。视频采用H.264/AVC编码格式压缩；动态码流的码率不低于1024Kbps；分辨率设定为1920×1080；帧速率为25 帧/秒。音频采用AAC格式压缩；采样率48KHz；比特率（码流）128Kbps。</w:t>
            </w:r>
          </w:p>
          <w:p>
            <w:pPr>
              <w:keepNext w:val="0"/>
              <w:keepLines w:val="0"/>
              <w:widowControl/>
              <w:suppressLineNumbers w:val="0"/>
              <w:jc w:val="both"/>
              <w:textAlignment w:val="top"/>
              <w:outlineLvl w:val="9"/>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如有需要，提供源文件和不同分辨率的版本。</w:t>
            </w:r>
          </w:p>
        </w:tc>
        <w:tc>
          <w:tcPr>
            <w:tcW w:w="405" w:type="pct"/>
            <w:vAlign w:val="center"/>
          </w:tcPr>
          <w:p>
            <w:pPr>
              <w:keepNext w:val="0"/>
              <w:keepLines w:val="0"/>
              <w:widowControl/>
              <w:suppressLineNumbers w:val="0"/>
              <w:jc w:val="center"/>
              <w:textAlignment w:val="center"/>
              <w:outlineLvl w:val="9"/>
              <w:rPr>
                <w:rFonts w:hint="default" w:ascii="仿宋" w:hAnsi="仿宋" w:eastAsia="仿宋" w:cs="仿宋"/>
                <w:b w:val="0"/>
                <w:bCs w:val="0"/>
                <w:kern w:val="0"/>
                <w:sz w:val="24"/>
                <w:szCs w:val="24"/>
                <w:lang w:val="en-US"/>
              </w:rPr>
            </w:pPr>
            <w:r>
              <w:rPr>
                <w:rFonts w:hint="eastAsia" w:ascii="仿宋" w:hAnsi="仿宋" w:eastAsia="仿宋" w:cs="仿宋"/>
                <w:b w:val="0"/>
                <w:bCs w:val="0"/>
                <w:i w:val="0"/>
                <w:iCs w:val="0"/>
                <w:color w:val="000000"/>
                <w:kern w:val="0"/>
                <w:sz w:val="24"/>
                <w:szCs w:val="24"/>
                <w:u w:val="none"/>
                <w:lang w:val="en-US" w:eastAsia="zh-CN" w:bidi="ar"/>
              </w:rPr>
              <w:t>30000</w:t>
            </w:r>
          </w:p>
        </w:tc>
        <w:tc>
          <w:tcPr>
            <w:tcW w:w="244" w:type="pct"/>
            <w:vAlign w:val="center"/>
          </w:tcPr>
          <w:p>
            <w:pPr>
              <w:widowControl/>
              <w:jc w:val="center"/>
              <w:textAlignment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428" w:type="pct"/>
            <w:vAlign w:val="center"/>
          </w:tcPr>
          <w:p>
            <w:pPr>
              <w:keepNext w:val="0"/>
              <w:keepLines w:val="0"/>
              <w:widowControl/>
              <w:suppressLineNumbers w:val="0"/>
              <w:jc w:val="center"/>
              <w:textAlignment w:val="center"/>
              <w:outlineLvl w:val="9"/>
              <w:rPr>
                <w:rFonts w:hint="default" w:ascii="仿宋" w:hAnsi="仿宋" w:eastAsia="仿宋" w:cs="仿宋"/>
                <w:b w:val="0"/>
                <w:bCs w:val="0"/>
                <w:kern w:val="0"/>
                <w:sz w:val="24"/>
                <w:szCs w:val="24"/>
                <w:lang w:val="en-US"/>
              </w:rPr>
            </w:pPr>
            <w:r>
              <w:rPr>
                <w:rFonts w:hint="eastAsia" w:ascii="仿宋" w:hAnsi="仿宋" w:eastAsia="仿宋" w:cs="仿宋"/>
                <w:b w:val="0"/>
                <w:bCs w:val="0"/>
                <w:i w:val="0"/>
                <w:iCs w:val="0"/>
                <w:color w:val="000000"/>
                <w:kern w:val="0"/>
                <w:sz w:val="24"/>
                <w:szCs w:val="24"/>
                <w:u w:val="none"/>
                <w:lang w:val="en-US" w:eastAsia="zh-CN" w:bidi="ar"/>
              </w:rPr>
              <w:t>30000</w:t>
            </w:r>
          </w:p>
        </w:tc>
        <w:tc>
          <w:tcPr>
            <w:tcW w:w="351" w:type="pct"/>
            <w:shd w:val="clear" w:color="auto" w:fill="auto"/>
            <w:vAlign w:val="center"/>
          </w:tcPr>
          <w:p>
            <w:pPr>
              <w:widowControl/>
              <w:jc w:val="center"/>
              <w:textAlignment w:val="center"/>
              <w:outlineLvl w:val="9"/>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厂家参照价格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3" w:type="pct"/>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87" w:type="pct"/>
            <w:gridSpan w:val="2"/>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2"/>
                <w:szCs w:val="22"/>
                <w:vertAlign w:val="baseline"/>
                <w:lang w:val="en-US" w:eastAsia="zh-CN"/>
              </w:rPr>
              <w:t>课程教学PPT制作</w:t>
            </w:r>
          </w:p>
        </w:tc>
        <w:tc>
          <w:tcPr>
            <w:tcW w:w="216" w:type="pct"/>
            <w:vAlign w:val="center"/>
          </w:tcPr>
          <w:p>
            <w:pPr>
              <w:widowControl/>
              <w:jc w:val="center"/>
              <w:textAlignment w:val="center"/>
              <w:outlineLvl w:val="9"/>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1项</w:t>
            </w:r>
          </w:p>
        </w:tc>
        <w:tc>
          <w:tcPr>
            <w:tcW w:w="2742" w:type="pct"/>
            <w:vAlign w:val="top"/>
          </w:tcPr>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1.PPT文稿美化制作项目制作要求：</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完成6个团队教师教学能力大赛微课视频PPT的制作和设计，</w:t>
            </w:r>
            <w:r>
              <w:rPr>
                <w:rFonts w:hint="default" w:ascii="仿宋" w:hAnsi="仿宋" w:eastAsia="仿宋" w:cs="仿宋"/>
                <w:i w:val="0"/>
                <w:iCs w:val="0"/>
                <w:color w:val="000000"/>
                <w:kern w:val="0"/>
                <w:sz w:val="24"/>
                <w:szCs w:val="24"/>
                <w:u w:val="none"/>
                <w:lang w:val="en-US" w:eastAsia="zh-CN" w:bidi="ar"/>
              </w:rPr>
              <w:t>满足教学内容丰富和便捷使用</w:t>
            </w:r>
            <w:r>
              <w:rPr>
                <w:rFonts w:hint="eastAsia" w:ascii="仿宋" w:hAnsi="仿宋" w:eastAsia="仿宋" w:cs="仿宋"/>
                <w:i w:val="0"/>
                <w:iCs w:val="0"/>
                <w:color w:val="000000"/>
                <w:kern w:val="0"/>
                <w:sz w:val="24"/>
                <w:szCs w:val="24"/>
                <w:u w:val="none"/>
                <w:lang w:val="en-US" w:eastAsia="zh-CN" w:bidi="ar"/>
              </w:rPr>
              <w:t>及参赛</w:t>
            </w:r>
            <w:r>
              <w:rPr>
                <w:rFonts w:hint="default" w:ascii="仿宋" w:hAnsi="仿宋" w:eastAsia="仿宋" w:cs="仿宋"/>
                <w:i w:val="0"/>
                <w:iCs w:val="0"/>
                <w:color w:val="000000"/>
                <w:kern w:val="0"/>
                <w:sz w:val="24"/>
                <w:szCs w:val="24"/>
                <w:u w:val="none"/>
                <w:lang w:val="en-US" w:eastAsia="zh-CN" w:bidi="ar"/>
              </w:rPr>
              <w:t>要求</w:t>
            </w:r>
            <w:r>
              <w:rPr>
                <w:rFonts w:hint="eastAsia" w:ascii="仿宋" w:hAnsi="仿宋" w:eastAsia="仿宋" w:cs="仿宋"/>
                <w:i w:val="0"/>
                <w:iCs w:val="0"/>
                <w:color w:val="000000"/>
                <w:kern w:val="0"/>
                <w:sz w:val="24"/>
                <w:szCs w:val="24"/>
                <w:u w:val="none"/>
                <w:lang w:val="en-US" w:eastAsia="zh-CN" w:bidi="ar"/>
              </w:rPr>
              <w:t>。PPT制作与美化是实现教学过程中PPT教学课件美观大方，满足教学内容丰富和便捷使用的要求，不与微课素材教学内容相同。包括但不限于以下内容（具体以实际需求为主）：</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（1）设计风格和主题：设计师按照现代、简洁、专业的风格保持一致的样式和主题进行文档美化。同时可以指定特定的主题或色彩搭配，提升整体的专业形象度和品质。以适应教学环境和参赛课程的特点。</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（2）布局和排版：要求优化PPT的布局和排版，使得信息呈现清晰、层次分明，同时注意保持整体视觉平衡和一致性。鼓励使用丰富多样的版式和创意的图表元素，使得内容更生动有趣。</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（3）图片与图表：要求插入高质量图片和图表，以增强教学效果和可视化呈现。提供具体的图片类型要求，同时要求图表清晰易懂，以支持教学内容的说明和阐述。</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（4）字体和颜色：指定统一的字体和字号，确保文字清晰可读。根据教学活动的特点和目标设定合适的字体配色方案，保持整体文档的视觉和谐。</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（5）动画和过渡效果：运用动画和过渡效果，使得PPT内容切换和元素展示更加流畅和吸引人。</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（6）可编辑性和可复用性：确保设计完成的PPT、说课PPT和实施报告能够方便地修改和更新。</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（7）注重细节：要求设计师注重细节的处理，包括纠正错别字、规范化标点符号、统一编号格式等。确保文档的准确性、规范性和易读性。</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（8）文件格式要求：明确要求设计师在交付时提供各种文档的可编辑源文件和导出文件，如PPT、PPTX、PPTM、POTX等，以便后续修改和使用。</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（9）版本交付要求：如果涉及多个文档的美化，需按照分工要求分别交付每个文档的美化版本。对各个文档版本的所有修改版本也进行交付。</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（10）文档尺寸和比例：根据教师指定所需文档的尺寸和比例，采用16:9的比例。确保文档在不同设备上的显示效果良好。</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（11）页面数要求：每个文档包含的页面数量根据教师实际教学需求定制，PPT页面数量≤30页。</w:t>
            </w:r>
          </w:p>
          <w:p>
            <w:pPr>
              <w:keepNext w:val="0"/>
              <w:keepLines w:val="0"/>
              <w:widowControl/>
              <w:suppressLineNumbers w:val="0"/>
              <w:jc w:val="both"/>
              <w:textAlignment w:val="top"/>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（12）版权要求：嵌入图片、图表、字体、视频的版权具有合法性，所有交付文档必须符合相关法律法规，不得包含政治敏感内容和违反中国法律法规的内容。</w:t>
            </w:r>
          </w:p>
        </w:tc>
        <w:tc>
          <w:tcPr>
            <w:tcW w:w="405" w:type="pct"/>
            <w:vAlign w:val="center"/>
          </w:tcPr>
          <w:p>
            <w:pPr>
              <w:keepNext w:val="0"/>
              <w:keepLines w:val="0"/>
              <w:widowControl/>
              <w:suppressLineNumbers w:val="0"/>
              <w:jc w:val="center"/>
              <w:textAlignment w:val="center"/>
              <w:outlineLvl w:val="9"/>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20000</w:t>
            </w:r>
          </w:p>
        </w:tc>
        <w:tc>
          <w:tcPr>
            <w:tcW w:w="244" w:type="pct"/>
            <w:vAlign w:val="center"/>
          </w:tcPr>
          <w:p>
            <w:pPr>
              <w:widowControl/>
              <w:jc w:val="center"/>
              <w:textAlignment w:val="center"/>
              <w:outlineLvl w:val="9"/>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428" w:type="pct"/>
            <w:vAlign w:val="center"/>
          </w:tcPr>
          <w:p>
            <w:pPr>
              <w:keepNext w:val="0"/>
              <w:keepLines w:val="0"/>
              <w:widowControl/>
              <w:suppressLineNumbers w:val="0"/>
              <w:jc w:val="center"/>
              <w:textAlignment w:val="center"/>
              <w:outlineLvl w:val="9"/>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20000</w:t>
            </w:r>
          </w:p>
        </w:tc>
        <w:tc>
          <w:tcPr>
            <w:tcW w:w="351" w:type="pct"/>
            <w:shd w:val="clear" w:color="auto" w:fill="auto"/>
            <w:vAlign w:val="center"/>
          </w:tcPr>
          <w:p>
            <w:pPr>
              <w:widowControl/>
              <w:jc w:val="center"/>
              <w:textAlignment w:val="center"/>
              <w:outlineLvl w:val="9"/>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3" w:type="pct"/>
            <w:vAlign w:val="center"/>
          </w:tcPr>
          <w:p>
            <w:pPr>
              <w:jc w:val="center"/>
              <w:outlineLvl w:val="9"/>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w:t>
            </w:r>
          </w:p>
        </w:tc>
        <w:tc>
          <w:tcPr>
            <w:tcW w:w="387" w:type="pct"/>
            <w:gridSpan w:val="2"/>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outlineLvl w:val="9"/>
              <w:rPr>
                <w:rFonts w:hint="eastAsia" w:ascii="仿宋" w:hAnsi="仿宋" w:eastAsia="仿宋" w:cs="仿宋"/>
                <w:color w:val="000000" w:themeColor="text1"/>
                <w:sz w:val="24"/>
                <w:szCs w:val="24"/>
                <w14:textFill>
                  <w14:solidFill>
                    <w14:schemeClr w14:val="tx1"/>
                  </w14:solidFill>
                </w14:textFill>
              </w:rPr>
            </w:pPr>
            <w:r>
              <w:rPr>
                <w:rFonts w:hint="default" w:ascii="仿宋" w:hAnsi="仿宋" w:eastAsia="仿宋" w:cs="仿宋"/>
                <w:i w:val="0"/>
                <w:iCs w:val="0"/>
                <w:color w:val="000000" w:themeColor="text1"/>
                <w:kern w:val="0"/>
                <w:sz w:val="24"/>
                <w:szCs w:val="24"/>
                <w:u w:val="none"/>
                <w:lang w:eastAsia="zh-CN" w:bidi="ar"/>
                <w14:textFill>
                  <w14:solidFill>
                    <w14:schemeClr w14:val="tx1"/>
                  </w14:solidFill>
                </w14:textFill>
              </w:rPr>
              <w:t>成果</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费用</w:t>
            </w:r>
          </w:p>
        </w:tc>
        <w:tc>
          <w:tcPr>
            <w:tcW w:w="216" w:type="pct"/>
            <w:vAlign w:val="center"/>
          </w:tcPr>
          <w:p>
            <w:pPr>
              <w:widowControl/>
              <w:jc w:val="center"/>
              <w:textAlignment w:val="center"/>
              <w:outlineLvl w:val="9"/>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w:t>
            </w:r>
          </w:p>
        </w:tc>
        <w:tc>
          <w:tcPr>
            <w:tcW w:w="2742" w:type="pct"/>
            <w:vAlign w:val="center"/>
          </w:tcPr>
          <w:p>
            <w:pPr>
              <w:keepNext w:val="0"/>
              <w:keepLines w:val="0"/>
              <w:widowControl/>
              <w:suppressLineNumbers w:val="0"/>
              <w:jc w:val="both"/>
              <w:textAlignment w:val="top"/>
              <w:outlineLvl w:val="9"/>
              <w:rPr>
                <w:rFonts w:hint="default" w:ascii="仿宋" w:hAnsi="仿宋" w:eastAsia="仿宋" w:cs="仿宋"/>
                <w:i w:val="0"/>
                <w:iCs w:val="0"/>
                <w:color w:val="000000" w:themeColor="text1"/>
                <w:kern w:val="0"/>
                <w:sz w:val="24"/>
                <w:szCs w:val="24"/>
                <w:u w:val="none"/>
                <w:lang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①</w:t>
            </w:r>
            <w:r>
              <w:rPr>
                <w:rFonts w:hint="default" w:ascii="仿宋" w:hAnsi="仿宋" w:eastAsia="仿宋" w:cs="仿宋"/>
                <w:i w:val="0"/>
                <w:iCs w:val="0"/>
                <w:color w:val="000000" w:themeColor="text1"/>
                <w:kern w:val="0"/>
                <w:sz w:val="24"/>
                <w:szCs w:val="24"/>
                <w:u w:val="none"/>
                <w:lang w:eastAsia="zh-CN" w:bidi="ar"/>
                <w14:textFill>
                  <w14:solidFill>
                    <w14:schemeClr w14:val="tx1"/>
                  </w14:solidFill>
                </w14:textFill>
              </w:rPr>
              <w:t>取</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得教师教学能力大赛二等奖4项</w:t>
            </w:r>
            <w:r>
              <w:rPr>
                <w:rFonts w:hint="default" w:ascii="仿宋" w:hAnsi="仿宋" w:eastAsia="仿宋" w:cs="仿宋"/>
                <w:i w:val="0"/>
                <w:iCs w:val="0"/>
                <w:color w:val="000000" w:themeColor="text1"/>
                <w:kern w:val="0"/>
                <w:sz w:val="24"/>
                <w:szCs w:val="24"/>
                <w:u w:val="none"/>
                <w:lang w:eastAsia="zh-CN" w:bidi="ar"/>
                <w14:textFill>
                  <w14:solidFill>
                    <w14:schemeClr w14:val="tx1"/>
                  </w14:solidFill>
                </w14:textFill>
              </w:rPr>
              <w:t>，</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每个50000元整</w:t>
            </w:r>
            <w:r>
              <w:rPr>
                <w:rFonts w:hint="default" w:ascii="仿宋" w:hAnsi="仿宋" w:eastAsia="仿宋" w:cs="仿宋"/>
                <w:i w:val="0"/>
                <w:iCs w:val="0"/>
                <w:color w:val="000000" w:themeColor="text1"/>
                <w:kern w:val="0"/>
                <w:sz w:val="24"/>
                <w:szCs w:val="24"/>
                <w:u w:val="none"/>
                <w:lang w:eastAsia="zh-CN" w:bidi="ar"/>
                <w14:textFill>
                  <w14:solidFill>
                    <w14:schemeClr w14:val="tx1"/>
                  </w14:solidFill>
                </w14:textFill>
              </w:rPr>
              <w:t>。</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②</w:t>
            </w:r>
            <w:r>
              <w:rPr>
                <w:rFonts w:hint="default" w:ascii="仿宋" w:hAnsi="仿宋" w:eastAsia="仿宋" w:cs="仿宋"/>
                <w:i w:val="0"/>
                <w:iCs w:val="0"/>
                <w:color w:val="000000" w:themeColor="text1"/>
                <w:kern w:val="0"/>
                <w:sz w:val="24"/>
                <w:szCs w:val="24"/>
                <w:u w:val="none"/>
                <w:lang w:eastAsia="zh-CN" w:bidi="ar"/>
                <w14:textFill>
                  <w14:solidFill>
                    <w14:schemeClr w14:val="tx1"/>
                  </w14:solidFill>
                </w14:textFill>
              </w:rPr>
              <w:t>取</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得教师教学能力大赛一等奖2项</w:t>
            </w:r>
            <w:r>
              <w:rPr>
                <w:rFonts w:hint="default" w:ascii="仿宋" w:hAnsi="仿宋" w:eastAsia="仿宋" w:cs="仿宋"/>
                <w:i w:val="0"/>
                <w:iCs w:val="0"/>
                <w:color w:val="000000" w:themeColor="text1"/>
                <w:kern w:val="0"/>
                <w:sz w:val="24"/>
                <w:szCs w:val="24"/>
                <w:u w:val="none"/>
                <w:lang w:eastAsia="zh-CN" w:bidi="ar"/>
                <w14:textFill>
                  <w14:solidFill>
                    <w14:schemeClr w14:val="tx1"/>
                  </w14:solidFill>
                </w14:textFill>
              </w:rPr>
              <w:t>，</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每个100000元整</w:t>
            </w:r>
            <w:r>
              <w:rPr>
                <w:rFonts w:hint="default" w:ascii="仿宋" w:hAnsi="仿宋" w:eastAsia="仿宋" w:cs="仿宋"/>
                <w:i w:val="0"/>
                <w:iCs w:val="0"/>
                <w:color w:val="000000" w:themeColor="text1"/>
                <w:kern w:val="0"/>
                <w:sz w:val="24"/>
                <w:szCs w:val="24"/>
                <w:u w:val="none"/>
                <w:lang w:eastAsia="zh-CN" w:bidi="ar"/>
                <w14:textFill>
                  <w14:solidFill>
                    <w14:schemeClr w14:val="tx1"/>
                  </w14:solidFill>
                </w14:textFill>
              </w:rPr>
              <w:t>。</w:t>
            </w:r>
          </w:p>
        </w:tc>
        <w:tc>
          <w:tcPr>
            <w:tcW w:w="405" w:type="pct"/>
            <w:vAlign w:val="center"/>
          </w:tcPr>
          <w:p>
            <w:pPr>
              <w:keepNext w:val="0"/>
              <w:keepLines w:val="0"/>
              <w:widowControl/>
              <w:suppressLineNumbers w:val="0"/>
              <w:jc w:val="center"/>
              <w:textAlignment w:val="center"/>
              <w:outlineLvl w:val="9"/>
              <w:rPr>
                <w:rFonts w:hint="default" w:ascii="仿宋" w:hAnsi="仿宋" w:eastAsia="仿宋" w:cs="仿宋"/>
                <w:color w:val="000000" w:themeColor="text1"/>
                <w:kern w:val="0"/>
                <w:sz w:val="24"/>
                <w:szCs w:val="24"/>
                <w:lang w:val="en-US"/>
                <w14:textFill>
                  <w14:solidFill>
                    <w14:schemeClr w14:val="tx1"/>
                  </w14:solidFill>
                </w14:textFill>
              </w:rPr>
            </w:pP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400000</w:t>
            </w:r>
          </w:p>
        </w:tc>
        <w:tc>
          <w:tcPr>
            <w:tcW w:w="244" w:type="pct"/>
            <w:vAlign w:val="center"/>
          </w:tcPr>
          <w:p>
            <w:pPr>
              <w:widowControl/>
              <w:jc w:val="center"/>
              <w:textAlignment w:val="center"/>
              <w:outlineLvl w:val="9"/>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w:t>
            </w:r>
          </w:p>
        </w:tc>
        <w:tc>
          <w:tcPr>
            <w:tcW w:w="428" w:type="pct"/>
            <w:vAlign w:val="center"/>
          </w:tcPr>
          <w:p>
            <w:pPr>
              <w:keepNext w:val="0"/>
              <w:keepLines w:val="0"/>
              <w:widowControl/>
              <w:suppressLineNumbers w:val="0"/>
              <w:jc w:val="center"/>
              <w:textAlignment w:val="center"/>
              <w:outlineLvl w:val="9"/>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400000</w:t>
            </w:r>
          </w:p>
        </w:tc>
        <w:tc>
          <w:tcPr>
            <w:tcW w:w="351" w:type="pct"/>
            <w:vAlign w:val="center"/>
          </w:tcPr>
          <w:p>
            <w:pPr>
              <w:widowControl/>
              <w:jc w:val="center"/>
              <w:textAlignment w:val="center"/>
              <w:outlineLvl w:val="9"/>
              <w:rPr>
                <w:rFonts w:hint="eastAsia" w:ascii="仿宋" w:hAnsi="仿宋" w:eastAsia="仿宋" w:cs="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569" w:type="pct"/>
            <w:gridSpan w:val="5"/>
            <w:vAlign w:val="center"/>
          </w:tcPr>
          <w:p>
            <w:pPr>
              <w:widowControl/>
              <w:jc w:val="center"/>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430" w:type="pct"/>
            <w:gridSpan w:val="4"/>
            <w:vAlign w:val="center"/>
          </w:tcPr>
          <w:p>
            <w:pPr>
              <w:widowControl/>
              <w:jc w:val="center"/>
              <w:textAlignment w:val="center"/>
              <w:outlineLvl w:val="9"/>
              <w:rPr>
                <w:rFonts w:hint="eastAsia" w:ascii="仿宋" w:hAnsi="仿宋" w:eastAsia="仿宋" w:cs="仿宋"/>
                <w:color w:val="0000FF"/>
                <w:kern w:val="0"/>
                <w:sz w:val="21"/>
                <w:szCs w:val="21"/>
                <w:lang w:val="en-US" w:eastAsia="zh-CN"/>
              </w:rPr>
            </w:pPr>
            <w:r>
              <w:rPr>
                <w:rFonts w:hint="eastAsia" w:ascii="仿宋" w:hAnsi="仿宋" w:eastAsia="仿宋" w:cs="仿宋"/>
                <w:color w:val="000000" w:themeColor="text1"/>
                <w:sz w:val="24"/>
                <w:szCs w:val="28"/>
                <w:lang w:val="en-US" w:eastAsia="zh-CN"/>
                <w14:textFill>
                  <w14:solidFill>
                    <w14:schemeClr w14:val="tx1"/>
                  </w14:solidFill>
                </w14:textFill>
              </w:rPr>
              <w:t>555,</w:t>
            </w:r>
            <w:r>
              <w:rPr>
                <w:rFonts w:hint="eastAsia" w:ascii="仿宋" w:hAnsi="仿宋" w:eastAsia="仿宋" w:cs="仿宋"/>
                <w:color w:val="000000" w:themeColor="text1"/>
                <w:sz w:val="24"/>
                <w:szCs w:val="28"/>
                <w14:textFill>
                  <w14:solidFill>
                    <w14:schemeClr w14:val="tx1"/>
                  </w14:solidFill>
                </w14:textFill>
              </w:rPr>
              <w:t>000</w:t>
            </w:r>
            <w:r>
              <w:rPr>
                <w:rFonts w:hint="eastAsia" w:ascii="仿宋" w:hAnsi="仿宋" w:eastAsia="仿宋" w:cs="仿宋"/>
                <w:color w:val="000000" w:themeColor="text1"/>
                <w:sz w:val="24"/>
                <w:szCs w:val="28"/>
                <w:lang w:val="en-US" w:eastAsia="zh-CN"/>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00" w:type="pct"/>
            <w:gridSpan w:val="9"/>
            <w:vAlign w:val="center"/>
          </w:tcPr>
          <w:p>
            <w:pPr>
              <w:spacing w:line="360" w:lineRule="exact"/>
              <w:outlineLvl w:val="9"/>
              <w:rPr>
                <w:rFonts w:hint="eastAsia" w:ascii="仿宋" w:hAnsi="仿宋" w:eastAsia="仿宋" w:cs="仿宋"/>
                <w:kern w:val="0"/>
                <w:sz w:val="18"/>
                <w:szCs w:val="18"/>
                <w:lang w:val="en-US" w:eastAsia="zh-CN"/>
              </w:rPr>
            </w:pPr>
            <w:r>
              <w:rPr>
                <w:rFonts w:hint="eastAsia" w:ascii="仿宋" w:hAnsi="仿宋" w:eastAsia="仿宋" w:cs="仿宋"/>
                <w:b/>
                <w:color w:val="000000"/>
                <w:sz w:val="24"/>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9" w:type="pct"/>
            <w:gridSpan w:val="2"/>
            <w:vAlign w:val="center"/>
          </w:tcPr>
          <w:p>
            <w:pPr>
              <w:spacing w:line="360" w:lineRule="exact"/>
              <w:jc w:val="center"/>
              <w:outlineLvl w:val="9"/>
              <w:rPr>
                <w:rFonts w:hint="eastAsia" w:ascii="仿宋" w:hAnsi="仿宋" w:eastAsia="仿宋" w:cs="仿宋"/>
                <w:b/>
                <w:szCs w:val="21"/>
                <w:lang w:val="en-US" w:eastAsia="zh-CN"/>
              </w:rPr>
            </w:pPr>
            <w:r>
              <w:rPr>
                <w:rFonts w:hint="eastAsia" w:ascii="仿宋" w:hAnsi="仿宋" w:eastAsia="仿宋" w:cs="仿宋"/>
                <w:color w:val="000000"/>
                <w:sz w:val="24"/>
              </w:rPr>
              <w:t>售后服务要求</w:t>
            </w:r>
          </w:p>
        </w:tc>
        <w:tc>
          <w:tcPr>
            <w:tcW w:w="4520" w:type="pct"/>
            <w:gridSpan w:val="7"/>
            <w:vAlign w:val="center"/>
          </w:tcPr>
          <w:p>
            <w:pPr>
              <w:spacing w:line="360" w:lineRule="exact"/>
              <w:ind w:firstLine="480" w:firstLineChars="200"/>
              <w:outlineLvl w:val="9"/>
              <w:rPr>
                <w:rFonts w:hint="eastAsia" w:ascii="仿宋" w:hAnsi="仿宋" w:eastAsia="仿宋" w:cs="仿宋"/>
                <w:color w:val="000000"/>
                <w:sz w:val="24"/>
              </w:rPr>
            </w:pPr>
            <w:r>
              <w:rPr>
                <w:rFonts w:hint="eastAsia" w:ascii="仿宋" w:hAnsi="仿宋" w:eastAsia="仿宋" w:cs="仿宋"/>
                <w:color w:val="000000"/>
                <w:sz w:val="24"/>
              </w:rPr>
              <w:t>（1）质量保证期 1 年（自提交服务成果并验收合格之日起计）。</w:t>
            </w:r>
          </w:p>
          <w:p>
            <w:pPr>
              <w:spacing w:line="360" w:lineRule="exact"/>
              <w:ind w:firstLine="480" w:firstLineChars="200"/>
              <w:outlineLvl w:val="9"/>
              <w:rPr>
                <w:rFonts w:hint="eastAsia" w:ascii="仿宋" w:hAnsi="仿宋" w:eastAsia="仿宋" w:cs="仿宋"/>
                <w:color w:val="000000"/>
                <w:sz w:val="24"/>
              </w:rPr>
            </w:pPr>
            <w:r>
              <w:rPr>
                <w:rFonts w:hint="eastAsia" w:ascii="仿宋" w:hAnsi="仿宋" w:eastAsia="仿宋" w:cs="仿宋"/>
                <w:color w:val="000000"/>
                <w:sz w:val="24"/>
              </w:rPr>
              <w:t>（2）处理问题响应时间：接到采购人处理问题通知后 4小时内到达采购人指定现场。</w:t>
            </w:r>
          </w:p>
          <w:p>
            <w:pPr>
              <w:spacing w:line="360" w:lineRule="exact"/>
              <w:ind w:firstLine="480" w:firstLineChars="200"/>
              <w:outlineLvl w:val="9"/>
              <w:rPr>
                <w:rFonts w:hint="eastAsia" w:ascii="仿宋" w:hAnsi="仿宋" w:eastAsia="仿宋" w:cs="仿宋"/>
              </w:rPr>
            </w:pPr>
            <w:r>
              <w:rPr>
                <w:rFonts w:hint="eastAsia" w:ascii="仿宋" w:hAnsi="仿宋" w:eastAsia="仿宋" w:cs="仿宋"/>
                <w:color w:val="000000"/>
                <w:sz w:val="24"/>
              </w:rPr>
              <w:t>（3）知识产权：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9" w:type="pct"/>
            <w:gridSpan w:val="2"/>
            <w:vAlign w:val="center"/>
          </w:tcPr>
          <w:p>
            <w:pPr>
              <w:spacing w:line="360" w:lineRule="exact"/>
              <w:jc w:val="center"/>
              <w:outlineLvl w:val="9"/>
              <w:rPr>
                <w:rFonts w:hint="eastAsia" w:ascii="仿宋" w:hAnsi="仿宋" w:eastAsia="仿宋" w:cs="仿宋"/>
                <w:color w:val="000000"/>
                <w:sz w:val="24"/>
              </w:rPr>
            </w:pPr>
            <w:r>
              <w:rPr>
                <w:rFonts w:hint="eastAsia" w:ascii="仿宋" w:hAnsi="仿宋" w:eastAsia="仿宋" w:cs="仿宋"/>
                <w:color w:val="000000"/>
                <w:sz w:val="24"/>
              </w:rPr>
              <w:t>交付时间及地点</w:t>
            </w:r>
          </w:p>
        </w:tc>
        <w:tc>
          <w:tcPr>
            <w:tcW w:w="4520" w:type="pct"/>
            <w:gridSpan w:val="7"/>
            <w:vAlign w:val="center"/>
          </w:tcPr>
          <w:p>
            <w:pPr>
              <w:spacing w:line="360" w:lineRule="exact"/>
              <w:ind w:firstLine="480" w:firstLineChars="200"/>
              <w:outlineLvl w:val="9"/>
              <w:rPr>
                <w:rFonts w:hint="eastAsia" w:ascii="仿宋" w:hAnsi="仿宋" w:eastAsia="仿宋" w:cs="仿宋"/>
                <w:color w:val="000000"/>
                <w:sz w:val="24"/>
              </w:rPr>
            </w:pPr>
            <w:r>
              <w:rPr>
                <w:rFonts w:hint="eastAsia" w:ascii="仿宋" w:hAnsi="仿宋" w:eastAsia="仿宋" w:cs="仿宋"/>
                <w:color w:val="000000"/>
                <w:sz w:val="24"/>
              </w:rPr>
              <w:t>（1）服务期限：合同签订</w:t>
            </w:r>
            <w:r>
              <w:rPr>
                <w:rFonts w:hint="eastAsia" w:ascii="仿宋" w:hAnsi="仿宋" w:eastAsia="仿宋" w:cs="仿宋"/>
                <w:color w:val="000000"/>
                <w:sz w:val="24"/>
                <w:highlight w:val="none"/>
              </w:rPr>
              <w:t>之日起</w:t>
            </w:r>
            <w:r>
              <w:rPr>
                <w:rFonts w:hint="eastAsia" w:ascii="仿宋" w:hAnsi="仿宋" w:eastAsia="仿宋" w:cs="仿宋"/>
                <w:color w:val="000000"/>
                <w:sz w:val="24"/>
                <w:highlight w:val="none"/>
                <w:lang w:val="en-US" w:eastAsia="zh-CN"/>
              </w:rPr>
              <w:t>180</w:t>
            </w:r>
            <w:r>
              <w:rPr>
                <w:rFonts w:hint="eastAsia" w:ascii="仿宋" w:hAnsi="仿宋" w:eastAsia="仿宋" w:cs="仿宋"/>
                <w:color w:val="000000"/>
                <w:sz w:val="24"/>
                <w:highlight w:val="none"/>
              </w:rPr>
              <w:t>天内通过验收</w:t>
            </w:r>
            <w:r>
              <w:rPr>
                <w:rFonts w:hint="eastAsia" w:ascii="仿宋" w:hAnsi="仿宋" w:eastAsia="仿宋" w:cs="仿宋"/>
                <w:color w:val="000000"/>
                <w:sz w:val="24"/>
              </w:rPr>
              <w:t>。</w:t>
            </w:r>
          </w:p>
          <w:p>
            <w:pPr>
              <w:spacing w:line="360" w:lineRule="exact"/>
              <w:ind w:firstLine="480" w:firstLineChars="200"/>
              <w:outlineLvl w:val="9"/>
              <w:rPr>
                <w:rFonts w:hint="eastAsia" w:ascii="仿宋" w:hAnsi="仿宋" w:eastAsia="仿宋" w:cs="仿宋"/>
                <w:color w:val="000000"/>
                <w:sz w:val="24"/>
              </w:rPr>
            </w:pPr>
            <w:r>
              <w:rPr>
                <w:rFonts w:hint="eastAsia" w:ascii="仿宋" w:hAnsi="仿宋" w:eastAsia="仿宋" w:cs="仿宋"/>
                <w:color w:val="000000"/>
                <w:sz w:val="24"/>
              </w:rPr>
              <w:t>（2）交货地点：甲方指定地点。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9" w:type="pct"/>
            <w:gridSpan w:val="2"/>
            <w:vAlign w:val="center"/>
          </w:tcPr>
          <w:p>
            <w:pPr>
              <w:snapToGrid w:val="0"/>
              <w:spacing w:line="360" w:lineRule="exact"/>
              <w:jc w:val="center"/>
              <w:outlineLvl w:val="9"/>
              <w:rPr>
                <w:rFonts w:hint="eastAsia" w:ascii="仿宋" w:hAnsi="仿宋" w:eastAsia="仿宋" w:cs="仿宋"/>
                <w:color w:val="000000"/>
                <w:sz w:val="24"/>
              </w:rPr>
            </w:pPr>
            <w:r>
              <w:rPr>
                <w:rFonts w:hint="eastAsia" w:ascii="仿宋" w:hAnsi="仿宋" w:eastAsia="仿宋" w:cs="仿宋"/>
                <w:color w:val="000000"/>
                <w:sz w:val="24"/>
              </w:rPr>
              <w:t>付款方式</w:t>
            </w:r>
          </w:p>
        </w:tc>
        <w:tc>
          <w:tcPr>
            <w:tcW w:w="4520" w:type="pct"/>
            <w:gridSpan w:val="7"/>
            <w:vAlign w:val="center"/>
          </w:tcPr>
          <w:p>
            <w:pPr>
              <w:widowControl/>
              <w:topLinePunct/>
              <w:spacing w:line="360" w:lineRule="exact"/>
              <w:ind w:firstLine="480" w:firstLineChars="200"/>
              <w:outlineLvl w:val="9"/>
              <w:rPr>
                <w:rFonts w:hint="eastAsia" w:ascii="仿宋" w:hAnsi="仿宋" w:eastAsia="仿宋" w:cs="仿宋"/>
                <w:color w:val="000000"/>
                <w:kern w:val="0"/>
                <w:sz w:val="24"/>
              </w:rPr>
            </w:pPr>
            <w:r>
              <w:rPr>
                <w:rFonts w:hint="eastAsia" w:ascii="仿宋" w:hAnsi="仿宋" w:eastAsia="仿宋" w:cs="仿宋"/>
                <w:color w:val="000000"/>
                <w:kern w:val="0"/>
                <w:sz w:val="24"/>
              </w:rPr>
              <w:t>（1）合同签订后10个工作日内，采购人向成交供应商支付合同总额的</w:t>
            </w:r>
            <w:r>
              <w:rPr>
                <w:rFonts w:hint="eastAsia" w:ascii="仿宋" w:hAnsi="仿宋" w:eastAsia="仿宋" w:cs="仿宋"/>
                <w:color w:val="000000"/>
                <w:kern w:val="0"/>
                <w:sz w:val="24"/>
                <w:lang w:val="en-US" w:eastAsia="zh-CN"/>
              </w:rPr>
              <w:t>28</w:t>
            </w:r>
            <w:r>
              <w:rPr>
                <w:rFonts w:hint="eastAsia" w:ascii="仿宋" w:hAnsi="仿宋" w:eastAsia="仿宋" w:cs="仿宋"/>
                <w:color w:val="000000"/>
                <w:kern w:val="0"/>
                <w:sz w:val="24"/>
              </w:rPr>
              <w:t>%，成交供应商必须提供相应数额的有效发票。</w:t>
            </w:r>
          </w:p>
          <w:p>
            <w:pPr>
              <w:widowControl/>
              <w:topLinePunct/>
              <w:spacing w:line="360" w:lineRule="exact"/>
              <w:ind w:firstLine="480" w:firstLineChars="200"/>
              <w:outlineLvl w:val="9"/>
              <w:rPr>
                <w:rFonts w:hint="eastAsia" w:ascii="仿宋" w:hAnsi="仿宋" w:eastAsia="仿宋" w:cs="仿宋"/>
                <w:color w:val="000000"/>
                <w:kern w:val="0"/>
                <w:sz w:val="24"/>
              </w:rPr>
            </w:pPr>
            <w:r>
              <w:rPr>
                <w:rFonts w:hint="eastAsia" w:ascii="仿宋" w:hAnsi="仿宋" w:eastAsia="仿宋" w:cs="仿宋"/>
                <w:color w:val="000000"/>
                <w:kern w:val="0"/>
                <w:sz w:val="24"/>
              </w:rPr>
              <w:t>（2）项目验收合格并经结算审计后10个工作日内，采购人支付至合同总额的100%。如项目存在质量问题的，在最后一期款项中扣除相关金额后再予以支付。</w:t>
            </w:r>
          </w:p>
          <w:p>
            <w:pPr>
              <w:widowControl/>
              <w:topLinePunct/>
              <w:spacing w:line="360" w:lineRule="exact"/>
              <w:ind w:firstLine="480" w:firstLineChars="200"/>
              <w:outlineLvl w:val="9"/>
              <w:rPr>
                <w:rFonts w:hint="eastAsia" w:ascii="仿宋" w:hAnsi="仿宋" w:eastAsia="仿宋" w:cs="仿宋"/>
                <w:color w:val="000000"/>
                <w:kern w:val="0"/>
                <w:sz w:val="24"/>
              </w:rPr>
            </w:pPr>
            <w:r>
              <w:rPr>
                <w:rFonts w:hint="eastAsia" w:ascii="仿宋" w:hAnsi="仿宋" w:eastAsia="仿宋" w:cs="仿宋"/>
                <w:color w:val="000000"/>
                <w:kern w:val="0"/>
                <w:sz w:val="24"/>
              </w:rPr>
              <w:t>（3）成交供应商在收到采购人支付的每笔款项后5个工作日内应按国家相关规定向采购人开具相应金额的正式发票。</w:t>
            </w:r>
          </w:p>
          <w:p>
            <w:pPr>
              <w:snapToGrid w:val="0"/>
              <w:spacing w:line="360" w:lineRule="exact"/>
              <w:ind w:firstLine="480" w:firstLineChars="200"/>
              <w:outlineLvl w:val="9"/>
              <w:rPr>
                <w:rFonts w:hint="eastAsia" w:ascii="仿宋" w:hAnsi="仿宋" w:eastAsia="仿宋" w:cs="仿宋"/>
                <w:color w:val="000000"/>
                <w:sz w:val="24"/>
              </w:rPr>
            </w:pPr>
            <w:r>
              <w:rPr>
                <w:rFonts w:hint="eastAsia" w:ascii="仿宋" w:hAnsi="仿宋" w:eastAsia="仿宋" w:cs="仿宋"/>
                <w:color w:val="000000"/>
                <w:kern w:val="0"/>
                <w:sz w:val="24"/>
              </w:rPr>
              <w:t>（4）履约保证金：成交供应商收到成交通知后5个工作日内，以转账方式将成交金额</w:t>
            </w:r>
            <w:r>
              <w:rPr>
                <w:rFonts w:hint="eastAsia" w:ascii="仿宋" w:hAnsi="仿宋" w:eastAsia="仿宋" w:cs="仿宋"/>
                <w:color w:val="000000" w:themeColor="text1"/>
                <w:kern w:val="0"/>
                <w:sz w:val="24"/>
                <w14:textFill>
                  <w14:solidFill>
                    <w14:schemeClr w14:val="tx1"/>
                  </w14:solidFill>
                </w14:textFill>
              </w:rPr>
              <w:t>的</w:t>
            </w:r>
            <w:r>
              <w:rPr>
                <w:rFonts w:hint="eastAsia" w:ascii="仿宋" w:hAnsi="仿宋" w:eastAsia="仿宋" w:cs="仿宋"/>
                <w:color w:val="000000"/>
                <w:kern w:val="0"/>
                <w:sz w:val="24"/>
              </w:rPr>
              <w:t>2%支</w:t>
            </w:r>
            <w:r>
              <w:rPr>
                <w:rFonts w:hint="eastAsia" w:ascii="仿宋" w:hAnsi="仿宋" w:eastAsia="仿宋" w:cs="仿宋"/>
                <w:color w:val="000000" w:themeColor="text1"/>
                <w:kern w:val="0"/>
                <w:sz w:val="24"/>
                <w14:textFill>
                  <w14:solidFill>
                    <w14:schemeClr w14:val="tx1"/>
                  </w14:solidFill>
                </w14:textFill>
              </w:rPr>
              <w:t>付至采购人指定账户作为履约保证金，验收合格后，采购人将履约保证金一次性无息退还成交供应商。如最终验收与合同不符，全部履约保证金不予退还，而且由成交供应商按合同标的额的</w:t>
            </w:r>
            <w:r>
              <w:rPr>
                <w:rFonts w:hint="eastAsia" w:ascii="仿宋" w:hAnsi="仿宋" w:eastAsia="仿宋" w:cs="仿宋"/>
                <w:color w:val="000000"/>
                <w:kern w:val="0"/>
                <w:sz w:val="24"/>
              </w:rPr>
              <w:t>30%承担违约责任，并承担采购人因实现权利而发生的一切损失（包括但不限于律师费、诉讼费、保全费、诉讼材料保全责任险保费等一切费用）。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9" w:type="pct"/>
            <w:gridSpan w:val="2"/>
            <w:vAlign w:val="center"/>
          </w:tcPr>
          <w:p>
            <w:pPr>
              <w:snapToGrid w:val="0"/>
              <w:spacing w:line="360" w:lineRule="exact"/>
              <w:jc w:val="center"/>
              <w:outlineLvl w:val="9"/>
              <w:rPr>
                <w:rFonts w:hint="eastAsia" w:ascii="仿宋" w:hAnsi="仿宋" w:eastAsia="仿宋" w:cs="仿宋"/>
                <w:color w:val="000000"/>
                <w:sz w:val="24"/>
              </w:rPr>
            </w:pPr>
            <w:r>
              <w:rPr>
                <w:rFonts w:hint="eastAsia" w:ascii="仿宋" w:hAnsi="仿宋" w:eastAsia="仿宋" w:cs="仿宋"/>
                <w:color w:val="000000"/>
                <w:sz w:val="24"/>
              </w:rPr>
              <w:t>报价要求</w:t>
            </w:r>
          </w:p>
        </w:tc>
        <w:tc>
          <w:tcPr>
            <w:tcW w:w="4520" w:type="pct"/>
            <w:gridSpan w:val="7"/>
            <w:vAlign w:val="center"/>
          </w:tcPr>
          <w:p>
            <w:pPr>
              <w:pStyle w:val="8"/>
              <w:snapToGrid w:val="0"/>
              <w:spacing w:line="360" w:lineRule="exact"/>
              <w:ind w:left="34" w:leftChars="0" w:firstLine="480" w:firstLineChars="200"/>
              <w:outlineLvl w:val="9"/>
              <w:rPr>
                <w:rFonts w:hint="eastAsia" w:ascii="仿宋" w:hAnsi="仿宋" w:eastAsia="仿宋" w:cs="仿宋"/>
                <w:color w:val="000000"/>
                <w:sz w:val="24"/>
              </w:rPr>
            </w:pPr>
            <w:r>
              <w:rPr>
                <w:rFonts w:hint="eastAsia" w:ascii="仿宋" w:hAnsi="仿宋" w:eastAsia="仿宋" w:cs="仿宋"/>
                <w:color w:val="000000"/>
                <w:kern w:val="2"/>
                <w:sz w:val="24"/>
                <w:szCs w:val="24"/>
              </w:rPr>
              <w:t>报价须包含供应商完成本项目所有内容及其他相关服务的投入、项目验收费、附加培训、售后服务、税金、利润及其他所有可能发生的一切费用。项目实施过程中，采购人不再支付任何费用。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pct"/>
            <w:gridSpan w:val="2"/>
            <w:vAlign w:val="center"/>
          </w:tcPr>
          <w:p>
            <w:pPr>
              <w:spacing w:line="360" w:lineRule="exact"/>
              <w:jc w:val="center"/>
              <w:outlineLvl w:val="9"/>
              <w:rPr>
                <w:rFonts w:hint="eastAsia" w:ascii="仿宋" w:hAnsi="仿宋" w:eastAsia="仿宋" w:cs="仿宋"/>
                <w:color w:val="000000"/>
                <w:sz w:val="24"/>
              </w:rPr>
            </w:pPr>
            <w:r>
              <w:rPr>
                <w:rFonts w:hint="eastAsia" w:ascii="仿宋" w:hAnsi="仿宋" w:eastAsia="仿宋" w:cs="仿宋"/>
                <w:color w:val="000000"/>
                <w:sz w:val="24"/>
              </w:rPr>
              <w:t>项目验收要求</w:t>
            </w:r>
          </w:p>
        </w:tc>
        <w:tc>
          <w:tcPr>
            <w:tcW w:w="4520" w:type="pct"/>
            <w:gridSpan w:val="7"/>
            <w:vAlign w:val="center"/>
          </w:tcPr>
          <w:p>
            <w:pPr>
              <w:snapToGrid w:val="0"/>
              <w:spacing w:line="360" w:lineRule="exact"/>
              <w:ind w:firstLine="480" w:firstLineChars="200"/>
              <w:jc w:val="left"/>
              <w:outlineLvl w:val="9"/>
              <w:rPr>
                <w:rFonts w:hint="eastAsia" w:ascii="仿宋" w:hAnsi="仿宋" w:eastAsia="仿宋" w:cs="仿宋"/>
                <w:color w:val="000000"/>
                <w:sz w:val="24"/>
              </w:rPr>
            </w:pPr>
            <w:r>
              <w:rPr>
                <w:rFonts w:hint="eastAsia" w:ascii="仿宋" w:hAnsi="仿宋" w:eastAsia="仿宋" w:cs="仿宋"/>
                <w:color w:val="000000"/>
                <w:sz w:val="24"/>
              </w:rPr>
              <w:t>（1）验收方式：由采购人与成交供应商共同参与，根据采购人指定的验收方案开展验收。若验收未一次通过，成交供应商应于7个工作日内按整改意见完成整改。如再次验收未通过，终止合同，采购人向上级财政部门提交违约终止合同情况报告。</w:t>
            </w:r>
          </w:p>
          <w:p>
            <w:pPr>
              <w:snapToGrid w:val="0"/>
              <w:spacing w:line="360" w:lineRule="exact"/>
              <w:ind w:firstLine="480" w:firstLineChars="200"/>
              <w:outlineLvl w:val="9"/>
              <w:rPr>
                <w:rFonts w:hint="eastAsia" w:ascii="仿宋" w:hAnsi="仿宋" w:eastAsia="仿宋" w:cs="仿宋"/>
                <w:color w:val="000000"/>
                <w:sz w:val="24"/>
              </w:rPr>
            </w:pPr>
            <w:r>
              <w:rPr>
                <w:rFonts w:hint="eastAsia" w:ascii="仿宋" w:hAnsi="仿宋" w:eastAsia="仿宋" w:cs="仿宋"/>
                <w:color w:val="000000"/>
                <w:sz w:val="24"/>
              </w:rPr>
              <w:t>（2）其余按合同条款约定。</w:t>
            </w:r>
          </w:p>
        </w:tc>
      </w:tr>
    </w:tbl>
    <w:p>
      <w:pPr>
        <w:spacing w:line="360" w:lineRule="auto"/>
        <w:ind w:firstLine="585" w:firstLineChars="266"/>
        <w:rPr>
          <w:rFonts w:ascii="宋体" w:hAnsi="宋体" w:eastAsia="宋体" w:cs="宋体"/>
          <w:color w:val="000000"/>
          <w:kern w:val="0"/>
          <w:sz w:val="22"/>
          <w:szCs w:val="22"/>
          <w:lang w:bidi="ar"/>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Ђ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C52F8"/>
    <w:multiLevelType w:val="singleLevel"/>
    <w:tmpl w:val="C16C52F8"/>
    <w:lvl w:ilvl="0" w:tentative="0">
      <w:start w:val="1"/>
      <w:numFmt w:val="chineseCounting"/>
      <w:suff w:val="nothing"/>
      <w:lvlText w:val="%1、"/>
      <w:lvlJc w:val="left"/>
      <w:rPr>
        <w:rFonts w:hint="eastAsia" w:ascii="宋体" w:hAnsi="宋体" w:eastAsia="宋体" w:cstheme="minorEastAsia"/>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ZDRiYTY2MGZmZTcwZDBkM2Y1YTA1NzY1NTM5ZDIifQ=="/>
  </w:docVars>
  <w:rsids>
    <w:rsidRoot w:val="36DF2765"/>
    <w:rsid w:val="00030D83"/>
    <w:rsid w:val="000566FF"/>
    <w:rsid w:val="00075729"/>
    <w:rsid w:val="000831B4"/>
    <w:rsid w:val="0009298D"/>
    <w:rsid w:val="000D67E3"/>
    <w:rsid w:val="000E7226"/>
    <w:rsid w:val="00127672"/>
    <w:rsid w:val="00135476"/>
    <w:rsid w:val="001552EC"/>
    <w:rsid w:val="001C17BD"/>
    <w:rsid w:val="002447BB"/>
    <w:rsid w:val="002738E9"/>
    <w:rsid w:val="00287716"/>
    <w:rsid w:val="002D3633"/>
    <w:rsid w:val="002F3A5C"/>
    <w:rsid w:val="00366605"/>
    <w:rsid w:val="00374754"/>
    <w:rsid w:val="003A21D6"/>
    <w:rsid w:val="003E21E6"/>
    <w:rsid w:val="00491FF7"/>
    <w:rsid w:val="004951F0"/>
    <w:rsid w:val="004A00AB"/>
    <w:rsid w:val="004A18AD"/>
    <w:rsid w:val="005800DB"/>
    <w:rsid w:val="005D2317"/>
    <w:rsid w:val="005F51F8"/>
    <w:rsid w:val="00682529"/>
    <w:rsid w:val="00692E46"/>
    <w:rsid w:val="006A7B40"/>
    <w:rsid w:val="006B1CB3"/>
    <w:rsid w:val="006C6FA2"/>
    <w:rsid w:val="00715FED"/>
    <w:rsid w:val="00722735"/>
    <w:rsid w:val="00722E6A"/>
    <w:rsid w:val="007508EE"/>
    <w:rsid w:val="007A5602"/>
    <w:rsid w:val="007D3D2C"/>
    <w:rsid w:val="007F277C"/>
    <w:rsid w:val="00834309"/>
    <w:rsid w:val="0083778C"/>
    <w:rsid w:val="00846133"/>
    <w:rsid w:val="00852062"/>
    <w:rsid w:val="00885006"/>
    <w:rsid w:val="008B78C2"/>
    <w:rsid w:val="008D3962"/>
    <w:rsid w:val="008D6A01"/>
    <w:rsid w:val="009041E0"/>
    <w:rsid w:val="00951C3A"/>
    <w:rsid w:val="009C456F"/>
    <w:rsid w:val="009E797D"/>
    <w:rsid w:val="00A628D5"/>
    <w:rsid w:val="00A90960"/>
    <w:rsid w:val="00A92F81"/>
    <w:rsid w:val="00AB6E48"/>
    <w:rsid w:val="00B010E4"/>
    <w:rsid w:val="00B10FE3"/>
    <w:rsid w:val="00B16210"/>
    <w:rsid w:val="00B64628"/>
    <w:rsid w:val="00BD6D51"/>
    <w:rsid w:val="00BF70F3"/>
    <w:rsid w:val="00C260F2"/>
    <w:rsid w:val="00C53E04"/>
    <w:rsid w:val="00C6208C"/>
    <w:rsid w:val="00C66043"/>
    <w:rsid w:val="00C70C9F"/>
    <w:rsid w:val="00C9730B"/>
    <w:rsid w:val="00CE1B3C"/>
    <w:rsid w:val="00CF39DF"/>
    <w:rsid w:val="00DD5ECC"/>
    <w:rsid w:val="00DE3FC7"/>
    <w:rsid w:val="00E06D8B"/>
    <w:rsid w:val="00E157FF"/>
    <w:rsid w:val="00E23582"/>
    <w:rsid w:val="00E4573D"/>
    <w:rsid w:val="00EB41FF"/>
    <w:rsid w:val="00F30A9B"/>
    <w:rsid w:val="00F745BA"/>
    <w:rsid w:val="00F74A57"/>
    <w:rsid w:val="00FB42ED"/>
    <w:rsid w:val="00FC13A0"/>
    <w:rsid w:val="00FF6281"/>
    <w:rsid w:val="04B213C1"/>
    <w:rsid w:val="05801B5E"/>
    <w:rsid w:val="123F5112"/>
    <w:rsid w:val="19B32B29"/>
    <w:rsid w:val="1DF148B0"/>
    <w:rsid w:val="21084A03"/>
    <w:rsid w:val="22723AE6"/>
    <w:rsid w:val="242239E6"/>
    <w:rsid w:val="2D6D1A79"/>
    <w:rsid w:val="2E3A3E82"/>
    <w:rsid w:val="307C465D"/>
    <w:rsid w:val="333C6176"/>
    <w:rsid w:val="343246EB"/>
    <w:rsid w:val="35B75678"/>
    <w:rsid w:val="36DF2765"/>
    <w:rsid w:val="384E6460"/>
    <w:rsid w:val="39FD7407"/>
    <w:rsid w:val="3ABC7B9C"/>
    <w:rsid w:val="403A6E92"/>
    <w:rsid w:val="425F59DD"/>
    <w:rsid w:val="44095C00"/>
    <w:rsid w:val="45CC3389"/>
    <w:rsid w:val="47B440D5"/>
    <w:rsid w:val="4A484FA8"/>
    <w:rsid w:val="4BB519E5"/>
    <w:rsid w:val="4DB210B7"/>
    <w:rsid w:val="50DE3097"/>
    <w:rsid w:val="51D84D97"/>
    <w:rsid w:val="5AB67D0C"/>
    <w:rsid w:val="5E543AC4"/>
    <w:rsid w:val="5EC21E37"/>
    <w:rsid w:val="68C31AF3"/>
    <w:rsid w:val="6C303C82"/>
    <w:rsid w:val="71CC2B05"/>
    <w:rsid w:val="74B724C5"/>
    <w:rsid w:val="78F874AE"/>
    <w:rsid w:val="7DCB51F3"/>
    <w:rsid w:val="ECB885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link w:val="25"/>
    <w:autoRedefine/>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semiHidden/>
    <w:unhideWhenUsed/>
    <w:qFormat/>
    <w:uiPriority w:val="0"/>
    <w:pPr>
      <w:tabs>
        <w:tab w:val="left" w:pos="1525"/>
        <w:tab w:val="left" w:pos="2155"/>
      </w:tabs>
      <w:adjustRightInd w:val="0"/>
      <w:spacing w:before="120" w:line="360" w:lineRule="auto"/>
      <w:ind w:left="2154" w:hanging="1077"/>
      <w:textAlignment w:val="baseline"/>
      <w:outlineLvl w:val="3"/>
    </w:pPr>
    <w:rPr>
      <w:rFonts w:ascii="Arial" w:hAnsi="Arial" w:eastAsia="宋体" w:cs="Times New Roman"/>
      <w:kern w:val="0"/>
      <w:sz w:val="24"/>
      <w:szCs w:val="20"/>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rPr>
      <w:rFonts w:ascii="Times New Roman" w:hAnsi="Times New Roman"/>
      <w:kern w:val="0"/>
      <w:sz w:val="20"/>
    </w:rPr>
  </w:style>
  <w:style w:type="paragraph" w:styleId="6">
    <w:name w:val="Body Text"/>
    <w:basedOn w:val="1"/>
    <w:next w:val="1"/>
    <w:link w:val="30"/>
    <w:autoRedefine/>
    <w:semiHidden/>
    <w:unhideWhenUsed/>
    <w:qFormat/>
    <w:uiPriority w:val="0"/>
    <w:pPr>
      <w:spacing w:after="120"/>
    </w:pPr>
  </w:style>
  <w:style w:type="paragraph" w:styleId="7">
    <w:name w:val="Body Text Indent"/>
    <w:basedOn w:val="1"/>
    <w:link w:val="28"/>
    <w:autoRedefine/>
    <w:semiHidden/>
    <w:unhideWhenUsed/>
    <w:qFormat/>
    <w:uiPriority w:val="0"/>
    <w:pPr>
      <w:spacing w:after="120"/>
      <w:ind w:left="420" w:leftChars="200"/>
    </w:pPr>
  </w:style>
  <w:style w:type="paragraph" w:styleId="8">
    <w:name w:val="Plain Text"/>
    <w:basedOn w:val="1"/>
    <w:next w:val="4"/>
    <w:link w:val="22"/>
    <w:autoRedefine/>
    <w:qFormat/>
    <w:uiPriority w:val="0"/>
    <w:rPr>
      <w:rFonts w:ascii="宋体" w:hAnsi="Courier New"/>
      <w:kern w:val="0"/>
      <w:sz w:val="20"/>
      <w:szCs w:val="21"/>
    </w:r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7"/>
    <w:next w:val="6"/>
    <w:link w:val="29"/>
    <w:autoRedefine/>
    <w:qFormat/>
    <w:uiPriority w:val="0"/>
    <w:pPr>
      <w:spacing w:line="200" w:lineRule="exact"/>
      <w:ind w:firstLine="464" w:firstLineChars="200"/>
    </w:pPr>
    <w:rPr>
      <w:rFonts w:ascii="微软雅黑" w:hAnsi="微软雅黑" w:eastAsia="微软雅黑" w:cs="微软雅黑"/>
      <w:color w:val="FF0000"/>
      <w:spacing w:val="-4"/>
      <w:kern w:val="0"/>
      <w:sz w:val="24"/>
      <w:szCs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annotation reference"/>
    <w:autoRedefine/>
    <w:qFormat/>
    <w:uiPriority w:val="0"/>
    <w:rPr>
      <w:sz w:val="21"/>
      <w:szCs w:val="21"/>
    </w:rPr>
  </w:style>
  <w:style w:type="paragraph" w:customStyle="1" w:styleId="18">
    <w:name w:val="_Style 1"/>
    <w:basedOn w:val="1"/>
    <w:autoRedefine/>
    <w:qFormat/>
    <w:uiPriority w:val="0"/>
    <w:pPr>
      <w:ind w:firstLine="420" w:firstLineChars="200"/>
    </w:pPr>
  </w:style>
  <w:style w:type="paragraph" w:styleId="19">
    <w:name w:val="List Paragraph"/>
    <w:basedOn w:val="1"/>
    <w:qFormat/>
    <w:uiPriority w:val="34"/>
    <w:pPr>
      <w:ind w:firstLine="420" w:firstLineChars="200"/>
    </w:p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 w:type="character" w:customStyle="1" w:styleId="22">
    <w:name w:val="纯文本 字符"/>
    <w:link w:val="8"/>
    <w:autoRedefine/>
    <w:qFormat/>
    <w:uiPriority w:val="0"/>
    <w:rPr>
      <w:rFonts w:ascii="宋体" w:hAnsi="Courier New" w:eastAsiaTheme="minorEastAsia" w:cstheme="minorBidi"/>
      <w:szCs w:val="21"/>
    </w:rPr>
  </w:style>
  <w:style w:type="paragraph" w:customStyle="1" w:styleId="23">
    <w:name w:val="Table Paragraph"/>
    <w:basedOn w:val="1"/>
    <w:unhideWhenUsed/>
    <w:qFormat/>
    <w:uiPriority w:val="1"/>
    <w:rPr>
      <w:rFonts w:hint="eastAsia" w:ascii="Times New Roman" w:hAnsi="Times New Roman" w:eastAsia="宋体" w:cs="Times New Roman"/>
      <w:sz w:val="24"/>
    </w:rPr>
  </w:style>
  <w:style w:type="paragraph" w:customStyle="1" w:styleId="24">
    <w:name w:val="Heading4"/>
    <w:basedOn w:val="1"/>
    <w:next w:val="1"/>
    <w:autoRedefine/>
    <w:qFormat/>
    <w:uiPriority w:val="0"/>
    <w:pPr>
      <w:widowControl/>
      <w:spacing w:before="120" w:after="120" w:line="360" w:lineRule="auto"/>
      <w:ind w:firstLine="3584"/>
      <w:jc w:val="center"/>
    </w:pPr>
    <w:rPr>
      <w:rFonts w:ascii="Times New Roman" w:hAnsi="Times New Roman" w:eastAsia="宋体" w:cs="Times New Roman"/>
    </w:rPr>
  </w:style>
  <w:style w:type="character" w:customStyle="1" w:styleId="25">
    <w:name w:val="标题 3 字符"/>
    <w:basedOn w:val="15"/>
    <w:link w:val="3"/>
    <w:autoRedefine/>
    <w:semiHidden/>
    <w:qFormat/>
    <w:uiPriority w:val="0"/>
    <w:rPr>
      <w:rFonts w:asciiTheme="minorHAnsi" w:hAnsiTheme="minorHAnsi" w:eastAsiaTheme="minorEastAsia" w:cstheme="minorBidi"/>
      <w:b/>
      <w:bCs/>
      <w:kern w:val="2"/>
      <w:sz w:val="32"/>
      <w:szCs w:val="32"/>
    </w:rPr>
  </w:style>
  <w:style w:type="table" w:customStyle="1" w:styleId="26">
    <w:name w:val="网格型1"/>
    <w:basedOn w:val="13"/>
    <w:autoRedefine/>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网格型2"/>
    <w:basedOn w:val="13"/>
    <w:autoRedefine/>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正文文本缩进 字符"/>
    <w:basedOn w:val="15"/>
    <w:link w:val="7"/>
    <w:semiHidden/>
    <w:qFormat/>
    <w:uiPriority w:val="0"/>
    <w:rPr>
      <w:rFonts w:asciiTheme="minorHAnsi" w:hAnsiTheme="minorHAnsi" w:eastAsiaTheme="minorEastAsia" w:cstheme="minorBidi"/>
      <w:kern w:val="2"/>
      <w:sz w:val="21"/>
      <w:szCs w:val="24"/>
    </w:rPr>
  </w:style>
  <w:style w:type="character" w:customStyle="1" w:styleId="29">
    <w:name w:val="正文文本首行缩进 2 字符"/>
    <w:basedOn w:val="28"/>
    <w:link w:val="12"/>
    <w:autoRedefine/>
    <w:qFormat/>
    <w:uiPriority w:val="0"/>
    <w:rPr>
      <w:rFonts w:ascii="微软雅黑" w:hAnsi="微软雅黑" w:eastAsia="微软雅黑" w:cs="微软雅黑"/>
      <w:color w:val="FF0000"/>
      <w:spacing w:val="-4"/>
      <w:kern w:val="2"/>
      <w:sz w:val="24"/>
      <w:szCs w:val="21"/>
    </w:rPr>
  </w:style>
  <w:style w:type="character" w:customStyle="1" w:styleId="30">
    <w:name w:val="正文文本 字符"/>
    <w:basedOn w:val="15"/>
    <w:link w:val="6"/>
    <w:semiHidden/>
    <w:qFormat/>
    <w:uiPriority w:val="0"/>
    <w:rPr>
      <w:rFonts w:asciiTheme="minorHAnsi" w:hAnsiTheme="minorHAnsi" w:eastAsiaTheme="minorEastAsia" w:cstheme="minorBidi"/>
      <w:kern w:val="2"/>
      <w:sz w:val="21"/>
      <w:szCs w:val="24"/>
    </w:rPr>
  </w:style>
  <w:style w:type="paragraph" w:customStyle="1" w:styleId="31">
    <w:name w:val="PlainText"/>
    <w:basedOn w:val="1"/>
    <w:qFormat/>
    <w:uiPriority w:val="0"/>
    <w:pPr>
      <w:widowControl/>
      <w:textAlignment w:val="baseline"/>
    </w:pPr>
    <w:rPr>
      <w:rFonts w:ascii="宋体" w:hAnsi="Courier New"/>
      <w:szCs w:val="20"/>
    </w:rPr>
  </w:style>
  <w:style w:type="character" w:customStyle="1" w:styleId="32">
    <w:name w:val="NormalCharacter"/>
    <w:qFormat/>
    <w:uiPriority w:val="0"/>
  </w:style>
  <w:style w:type="paragraph" w:customStyle="1" w:styleId="33">
    <w:name w:val="Default"/>
    <w:qFormat/>
    <w:uiPriority w:val="0"/>
    <w:pPr>
      <w:widowControl w:val="0"/>
      <w:autoSpaceDE w:val="0"/>
      <w:autoSpaceDN w:val="0"/>
      <w:adjustRightInd w:val="0"/>
      <w:spacing w:line="360" w:lineRule="auto"/>
    </w:pPr>
    <w:rPr>
      <w:rFonts w:ascii="Courier New" w:hAnsi="Ђˎ̥" w:eastAsia="宋体" w:cs="Courier New"/>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6198</Words>
  <Characters>6590</Characters>
  <Lines>186</Lines>
  <Paragraphs>52</Paragraphs>
  <TotalTime>83</TotalTime>
  <ScaleCrop>false</ScaleCrop>
  <LinksUpToDate>false</LinksUpToDate>
  <CharactersWithSpaces>6619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2023-04-22T10:41:00Z</dcterms:created>
  <dc:creator>guai1377869453</dc:creator>
  <cp:lastModifiedBy>Administrator</cp:lastModifiedBy>
  <cp:lastPrinted>2024-11-26T06:28:00Z</cp:lastPrinted>
  <dcterms:modified xsi:type="dcterms:W3CDTF">2024-11-26T07:41:13Z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2867BE5726904CAFA690D732A04EDD4B_13</vt:lpwstr>
  </property>
</Properties>
</file>