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D0C0C9">
      <w:pPr>
        <w:jc w:val="cente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pPr>
    </w:p>
    <w:p w14:paraId="6D34B2AC">
      <w:pP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pPr>
    </w:p>
    <w:p w14:paraId="3FD02B8E">
      <w:pPr>
        <w:jc w:val="center"/>
        <w:rPr>
          <w:rFonts w:hint="eastAsia" w:asciiTheme="minorEastAsia" w:hAnsiTheme="minorEastAsia" w:eastAsiaTheme="minorEastAsia" w:cstheme="minorEastAsia"/>
          <w:color w:val="000000" w:themeColor="text1"/>
          <w:sz w:val="52"/>
          <w:szCs w:val="52"/>
          <w:highlight w:val="none"/>
          <w:lang w:eastAsia="zh-CN"/>
          <w14:textFill>
            <w14:solidFill>
              <w14:schemeClr w14:val="tx1"/>
            </w14:solidFill>
          </w14:textFill>
        </w:rPr>
      </w:pPr>
      <w:r>
        <w:rPr>
          <w:rFonts w:hint="eastAsia" w:ascii="宋体" w:hAnsi="宋体" w:cs="宋体"/>
          <w:b/>
          <w:color w:val="auto"/>
          <w:sz w:val="52"/>
          <w:szCs w:val="52"/>
          <w:highlight w:val="none"/>
          <w:lang w:val="en-US" w:eastAsia="zh-CN"/>
        </w:rPr>
        <w:t>1#学生宿舍项目工程勘察服务</w:t>
      </w:r>
    </w:p>
    <w:p w14:paraId="5AC8D056">
      <w:pPr>
        <w:pStyle w:val="10"/>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pPr>
    </w:p>
    <w:p w14:paraId="334F7F1B">
      <w:pP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pPr>
    </w:p>
    <w:p w14:paraId="229B4C1C">
      <w:pP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pPr>
    </w:p>
    <w:p w14:paraId="1887D87E">
      <w:pP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pPr>
    </w:p>
    <w:p w14:paraId="1C6FB73C">
      <w:pPr>
        <w:ind w:left="340" w:right="261"/>
        <w:jc w:val="center"/>
        <w:rPr>
          <w:rFonts w:hint="eastAsia" w:asciiTheme="minorEastAsia" w:hAnsiTheme="minorEastAsia" w:eastAsiaTheme="minorEastAsia" w:cstheme="minorEastAsia"/>
          <w:b/>
          <w:bCs/>
          <w:color w:val="000000" w:themeColor="text1"/>
          <w:spacing w:val="3"/>
          <w:sz w:val="80"/>
          <w:szCs w:val="80"/>
          <w:highlight w:val="none"/>
          <w14:textFill>
            <w14:solidFill>
              <w14:schemeClr w14:val="tx1"/>
            </w14:solidFill>
          </w14:textFill>
        </w:rPr>
      </w:pPr>
    </w:p>
    <w:p w14:paraId="700CB857">
      <w:pPr>
        <w:ind w:left="340" w:right="261"/>
        <w:jc w:val="center"/>
        <w:rPr>
          <w:rFonts w:hint="eastAsia" w:asciiTheme="minorEastAsia" w:hAnsiTheme="minorEastAsia" w:eastAsiaTheme="minorEastAsia" w:cstheme="minorEastAsia"/>
          <w:color w:val="000000" w:themeColor="text1"/>
          <w:sz w:val="80"/>
          <w:szCs w:val="80"/>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3"/>
          <w:sz w:val="80"/>
          <w:szCs w:val="80"/>
          <w:highlight w:val="none"/>
          <w14:textFill>
            <w14:solidFill>
              <w14:schemeClr w14:val="tx1"/>
            </w14:solidFill>
          </w14:textFill>
        </w:rPr>
        <w:t>竞争性磋商文件</w:t>
      </w:r>
    </w:p>
    <w:p w14:paraId="5ECECBBB">
      <w:pPr>
        <w:rPr>
          <w:rFonts w:hint="eastAsia" w:asciiTheme="minorEastAsia" w:hAnsiTheme="minorEastAsia" w:eastAsiaTheme="minorEastAsia" w:cstheme="minorEastAsia"/>
          <w:b/>
          <w:bCs/>
          <w:color w:val="000000" w:themeColor="text1"/>
          <w:sz w:val="20"/>
          <w:szCs w:val="20"/>
          <w:highlight w:val="none"/>
          <w14:textFill>
            <w14:solidFill>
              <w14:schemeClr w14:val="tx1"/>
            </w14:solidFill>
          </w14:textFill>
        </w:rPr>
      </w:pPr>
    </w:p>
    <w:p w14:paraId="544B1FD2">
      <w:pPr>
        <w:spacing w:before="7"/>
        <w:rPr>
          <w:rFonts w:hint="eastAsia" w:asciiTheme="minorEastAsia" w:hAnsiTheme="minorEastAsia" w:eastAsiaTheme="minorEastAsia" w:cstheme="minorEastAsia"/>
          <w:b/>
          <w:bCs/>
          <w:color w:val="000000" w:themeColor="text1"/>
          <w:sz w:val="15"/>
          <w:szCs w:val="15"/>
          <w:highlight w:val="none"/>
          <w14:textFill>
            <w14:solidFill>
              <w14:schemeClr w14:val="tx1"/>
            </w14:solidFill>
          </w14:textFill>
        </w:rPr>
      </w:pPr>
    </w:p>
    <w:p w14:paraId="41CE60EC">
      <w:pPr>
        <w:rPr>
          <w:rFonts w:hint="eastAsia" w:asciiTheme="minorEastAsia" w:hAnsiTheme="minorEastAsia" w:eastAsiaTheme="minorEastAsia" w:cstheme="minorEastAsia"/>
          <w:b/>
          <w:bCs/>
          <w:color w:val="000000" w:themeColor="text1"/>
          <w:sz w:val="32"/>
          <w:szCs w:val="32"/>
          <w:highlight w:val="none"/>
          <w:lang w:eastAsia="zh-CN"/>
          <w14:textFill>
            <w14:solidFill>
              <w14:schemeClr w14:val="tx1"/>
            </w14:solidFill>
          </w14:textFill>
        </w:rPr>
      </w:pPr>
    </w:p>
    <w:p w14:paraId="3FCD2080">
      <w:pPr>
        <w:rPr>
          <w:rFonts w:hint="eastAsia" w:asciiTheme="minorEastAsia" w:hAnsiTheme="minorEastAsia" w:eastAsiaTheme="minorEastAsia" w:cstheme="minorEastAsia"/>
          <w:b/>
          <w:bCs/>
          <w:color w:val="000000" w:themeColor="text1"/>
          <w:sz w:val="32"/>
          <w:szCs w:val="32"/>
          <w:highlight w:val="none"/>
          <w:lang w:eastAsia="zh-CN"/>
          <w14:textFill>
            <w14:solidFill>
              <w14:schemeClr w14:val="tx1"/>
            </w14:solidFill>
          </w14:textFill>
        </w:rPr>
      </w:pPr>
    </w:p>
    <w:p w14:paraId="0F5F72DF">
      <w:pPr>
        <w:pStyle w:val="3"/>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pPr>
    </w:p>
    <w:p w14:paraId="0BED56FA">
      <w:pPr>
        <w:rPr>
          <w:rFonts w:hint="eastAsia" w:asciiTheme="minorEastAsia" w:hAnsiTheme="minorEastAsia" w:eastAsiaTheme="minorEastAsia" w:cstheme="minorEastAsia"/>
          <w:b/>
          <w:bCs/>
          <w:color w:val="000000" w:themeColor="text1"/>
          <w:sz w:val="32"/>
          <w:szCs w:val="32"/>
          <w:highlight w:val="none"/>
          <w:lang w:eastAsia="zh-CN"/>
          <w14:textFill>
            <w14:solidFill>
              <w14:schemeClr w14:val="tx1"/>
            </w14:solidFill>
          </w14:textFill>
        </w:rPr>
      </w:pPr>
    </w:p>
    <w:p w14:paraId="619E8E22">
      <w:pPr>
        <w:spacing w:before="4"/>
        <w:rPr>
          <w:rFonts w:hint="eastAsia" w:asciiTheme="minorEastAsia" w:hAnsiTheme="minorEastAsia" w:eastAsiaTheme="minorEastAsia" w:cstheme="minorEastAsia"/>
          <w:b/>
          <w:bCs/>
          <w:color w:val="000000" w:themeColor="text1"/>
          <w:sz w:val="32"/>
          <w:szCs w:val="32"/>
          <w:highlight w:val="none"/>
          <w:lang w:eastAsia="zh-CN"/>
          <w14:textFill>
            <w14:solidFill>
              <w14:schemeClr w14:val="tx1"/>
            </w14:solidFill>
          </w14:textFill>
        </w:rPr>
      </w:pPr>
    </w:p>
    <w:p w14:paraId="47F236BB">
      <w:pPr>
        <w:pStyle w:val="10"/>
        <w:rPr>
          <w:rFonts w:hint="eastAsia" w:asciiTheme="minorEastAsia" w:hAnsiTheme="minorEastAsia" w:eastAsiaTheme="minorEastAsia" w:cstheme="minorEastAsia"/>
          <w:b/>
          <w:bCs/>
          <w:color w:val="000000" w:themeColor="text1"/>
          <w:sz w:val="32"/>
          <w:szCs w:val="32"/>
          <w:highlight w:val="none"/>
          <w:lang w:eastAsia="zh-CN"/>
          <w14:textFill>
            <w14:solidFill>
              <w14:schemeClr w14:val="tx1"/>
            </w14:solidFill>
          </w14:textFill>
        </w:rPr>
      </w:pPr>
    </w:p>
    <w:p w14:paraId="347BE35A">
      <w:pPr>
        <w:pStyle w:val="10"/>
        <w:ind w:left="0" w:leftChars="0" w:firstLine="0" w:firstLineChars="0"/>
        <w:rPr>
          <w:rFonts w:hint="eastAsia" w:asciiTheme="minorEastAsia" w:hAnsiTheme="minorEastAsia" w:eastAsiaTheme="minorEastAsia" w:cstheme="minorEastAsia"/>
          <w:b/>
          <w:bCs/>
          <w:color w:val="000000" w:themeColor="text1"/>
          <w:sz w:val="32"/>
          <w:szCs w:val="32"/>
          <w:highlight w:val="none"/>
          <w:lang w:eastAsia="zh-CN"/>
          <w14:textFill>
            <w14:solidFill>
              <w14:schemeClr w14:val="tx1"/>
            </w14:solidFill>
          </w14:textFill>
        </w:rPr>
      </w:pPr>
    </w:p>
    <w:p w14:paraId="02F9D4B6">
      <w:pP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pPr>
    </w:p>
    <w:p w14:paraId="530B018C">
      <w:pPr>
        <w:spacing w:line="357" w:lineRule="auto"/>
        <w:ind w:left="1320" w:leftChars="600" w:firstLine="0" w:firstLineChars="0"/>
        <w:rPr>
          <w:rFonts w:hint="eastAsia" w:asciiTheme="minorEastAsia" w:hAnsiTheme="minorEastAsia" w:eastAsiaTheme="minorEastAsia" w:cstheme="minorEastAsia"/>
          <w:b/>
          <w:bCs/>
          <w:color w:val="000000" w:themeColor="text1"/>
          <w:spacing w:val="113"/>
          <w:w w:val="95"/>
          <w:sz w:val="32"/>
          <w:szCs w:val="32"/>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w w:val="95"/>
          <w:sz w:val="32"/>
          <w:szCs w:val="32"/>
          <w:highlight w:val="none"/>
          <w:lang w:eastAsia="zh-CN"/>
          <w14:textFill>
            <w14:solidFill>
              <w14:schemeClr w14:val="tx1"/>
            </w14:solidFill>
          </w14:textFill>
        </w:rPr>
        <w:t>采</w:t>
      </w:r>
      <w:r>
        <w:rPr>
          <w:rFonts w:hint="eastAsia" w:asciiTheme="minorEastAsia" w:hAnsiTheme="minorEastAsia" w:eastAsiaTheme="minorEastAsia" w:cstheme="minorEastAsia"/>
          <w:b/>
          <w:bCs/>
          <w:color w:val="000000" w:themeColor="text1"/>
          <w:w w:val="95"/>
          <w:sz w:val="32"/>
          <w:szCs w:val="32"/>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w w:val="95"/>
          <w:sz w:val="32"/>
          <w:szCs w:val="32"/>
          <w:highlight w:val="none"/>
          <w:lang w:eastAsia="zh-CN"/>
          <w14:textFill>
            <w14:solidFill>
              <w14:schemeClr w14:val="tx1"/>
            </w14:solidFill>
          </w14:textFill>
        </w:rPr>
        <w:t>购</w:t>
      </w:r>
      <w:r>
        <w:rPr>
          <w:rFonts w:hint="eastAsia" w:asciiTheme="minorEastAsia" w:hAnsiTheme="minorEastAsia" w:eastAsiaTheme="minorEastAsia" w:cstheme="minorEastAsia"/>
          <w:b/>
          <w:bCs/>
          <w:color w:val="000000" w:themeColor="text1"/>
          <w:w w:val="95"/>
          <w:sz w:val="32"/>
          <w:szCs w:val="32"/>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w w:val="95"/>
          <w:sz w:val="32"/>
          <w:szCs w:val="32"/>
          <w:highlight w:val="none"/>
          <w:lang w:eastAsia="zh-CN"/>
          <w14:textFill>
            <w14:solidFill>
              <w14:schemeClr w14:val="tx1"/>
            </w14:solidFill>
          </w14:textFill>
        </w:rPr>
        <w:t>人：</w:t>
      </w:r>
      <w:r>
        <w:rPr>
          <w:rFonts w:hint="eastAsia" w:asciiTheme="minorEastAsia" w:hAnsiTheme="minorEastAsia" w:eastAsiaTheme="minorEastAsia" w:cstheme="minorEastAsia"/>
          <w:b/>
          <w:bCs/>
          <w:color w:val="000000" w:themeColor="text1"/>
          <w:spacing w:val="113"/>
          <w:w w:val="95"/>
          <w:sz w:val="32"/>
          <w:szCs w:val="32"/>
          <w:highlight w:val="none"/>
          <w:lang w:val="en-US" w:eastAsia="zh-CN"/>
          <w14:textFill>
            <w14:solidFill>
              <w14:schemeClr w14:val="tx1"/>
            </w14:solidFill>
          </w14:textFill>
        </w:rPr>
        <w:t>广西农牧工程学校</w:t>
      </w:r>
    </w:p>
    <w:p w14:paraId="570F62AF">
      <w:pPr>
        <w:spacing w:line="357" w:lineRule="auto"/>
        <w:ind w:left="1320" w:leftChars="600" w:firstLine="0" w:firstLineChars="0"/>
        <w:rPr>
          <w:rFonts w:hint="default" w:asciiTheme="minorEastAsia" w:hAnsiTheme="minorEastAsia" w:eastAsiaTheme="minorEastAsia" w:cstheme="minorEastAsia"/>
          <w:b/>
          <w:bCs/>
          <w:color w:val="000000" w:themeColor="text1"/>
          <w:spacing w:val="113"/>
          <w:w w:val="95"/>
          <w:sz w:val="32"/>
          <w:szCs w:val="32"/>
          <w:highlight w:val="none"/>
          <w:lang w:val="en-US" w:eastAsia="zh-CN"/>
          <w14:textFill>
            <w14:solidFill>
              <w14:schemeClr w14:val="tx1"/>
            </w14:solidFill>
          </w14:textFill>
        </w:rPr>
      </w:pPr>
    </w:p>
    <w:p w14:paraId="4EF2A5F3">
      <w:pPr>
        <w:spacing w:line="357" w:lineRule="auto"/>
        <w:ind w:left="1320" w:leftChars="600" w:firstLine="0" w:firstLineChars="0"/>
        <w:rPr>
          <w:rFonts w:hint="eastAsia" w:asciiTheme="minorEastAsia" w:hAnsiTheme="minorEastAsia" w:eastAsiaTheme="minorEastAsia" w:cstheme="minorEastAsia"/>
          <w:b/>
          <w:bCs/>
          <w:color w:val="000000" w:themeColor="text1"/>
          <w:sz w:val="32"/>
          <w:szCs w:val="32"/>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32"/>
          <w:szCs w:val="32"/>
          <w:highlight w:val="none"/>
          <w:lang w:eastAsia="zh-CN"/>
          <w14:textFill>
            <w14:solidFill>
              <w14:schemeClr w14:val="tx1"/>
            </w14:solidFill>
          </w14:textFill>
        </w:rPr>
        <w:t>日</w:t>
      </w:r>
      <w:r>
        <w:rPr>
          <w:rFonts w:hint="eastAsia" w:asciiTheme="minorEastAsia" w:hAnsiTheme="minorEastAsia" w:eastAsiaTheme="minorEastAsia" w:cstheme="minorEastAsia"/>
          <w:b/>
          <w:bCs/>
          <w:color w:val="000000" w:themeColor="text1"/>
          <w:sz w:val="32"/>
          <w:szCs w:val="32"/>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32"/>
          <w:szCs w:val="32"/>
          <w:highlight w:val="none"/>
          <w:lang w:eastAsia="zh-CN"/>
          <w14:textFill>
            <w14:solidFill>
              <w14:schemeClr w14:val="tx1"/>
            </w14:solidFill>
          </w14:textFill>
        </w:rPr>
        <w:t>期：</w:t>
      </w:r>
      <w:r>
        <w:rPr>
          <w:rFonts w:hint="eastAsia" w:asciiTheme="minorEastAsia" w:hAnsiTheme="minorEastAsia" w:eastAsiaTheme="minorEastAsia" w:cstheme="minorEastAsia"/>
          <w:b/>
          <w:bCs/>
          <w:color w:val="000000" w:themeColor="text1"/>
          <w:sz w:val="32"/>
          <w:szCs w:val="32"/>
          <w:highlight w:val="none"/>
          <w:lang w:val="en-US" w:eastAsia="zh-CN"/>
          <w14:textFill>
            <w14:solidFill>
              <w14:schemeClr w14:val="tx1"/>
            </w14:solidFill>
          </w14:textFill>
        </w:rPr>
        <w:t>2024</w:t>
      </w:r>
      <w:r>
        <w:rPr>
          <w:rFonts w:hint="eastAsia" w:asciiTheme="minorEastAsia" w:hAnsiTheme="minorEastAsia" w:eastAsiaTheme="minorEastAsia" w:cstheme="minorEastAsia"/>
          <w:b/>
          <w:bCs/>
          <w:color w:val="000000" w:themeColor="text1"/>
          <w:sz w:val="32"/>
          <w:szCs w:val="32"/>
          <w:highlight w:val="none"/>
          <w:lang w:eastAsia="zh-CN"/>
          <w14:textFill>
            <w14:solidFill>
              <w14:schemeClr w14:val="tx1"/>
            </w14:solidFill>
          </w14:textFill>
        </w:rPr>
        <w:t>年</w:t>
      </w:r>
      <w:r>
        <w:rPr>
          <w:rFonts w:hint="eastAsia" w:asciiTheme="minorEastAsia" w:hAnsiTheme="minorEastAsia" w:eastAsiaTheme="minorEastAsia" w:cstheme="minorEastAsia"/>
          <w:b/>
          <w:bCs/>
          <w:color w:val="000000" w:themeColor="text1"/>
          <w:sz w:val="32"/>
          <w:szCs w:val="32"/>
          <w:highlight w:val="none"/>
          <w:lang w:val="en-US" w:eastAsia="zh-CN"/>
          <w14:textFill>
            <w14:solidFill>
              <w14:schemeClr w14:val="tx1"/>
            </w14:solidFill>
          </w14:textFill>
        </w:rPr>
        <w:t>12</w:t>
      </w:r>
      <w:r>
        <w:rPr>
          <w:rFonts w:hint="eastAsia" w:asciiTheme="minorEastAsia" w:hAnsiTheme="minorEastAsia" w:eastAsiaTheme="minorEastAsia" w:cstheme="minorEastAsia"/>
          <w:b/>
          <w:bCs/>
          <w:color w:val="000000" w:themeColor="text1"/>
          <w:sz w:val="32"/>
          <w:szCs w:val="32"/>
          <w:highlight w:val="none"/>
          <w:lang w:eastAsia="zh-CN"/>
          <w14:textFill>
            <w14:solidFill>
              <w14:schemeClr w14:val="tx1"/>
            </w14:solidFill>
          </w14:textFill>
        </w:rPr>
        <w:t>月</w:t>
      </w:r>
    </w:p>
    <w:p w14:paraId="54B0CCA2">
      <w:pPr>
        <w:pStyle w:val="23"/>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pPr>
    </w:p>
    <w:sdt>
      <w:sdtPr>
        <w:rPr>
          <w:rFonts w:hint="eastAsia" w:asciiTheme="minorEastAsia" w:hAnsiTheme="minorEastAsia" w:eastAsiaTheme="minorEastAsia" w:cstheme="minorEastAsia"/>
          <w:color w:val="000000" w:themeColor="text1"/>
          <w:sz w:val="21"/>
          <w:highlight w:val="none"/>
          <w14:textFill>
            <w14:solidFill>
              <w14:schemeClr w14:val="tx1"/>
            </w14:solidFill>
          </w14:textFill>
        </w:rPr>
        <w:id w:val="147470407"/>
      </w:sdtPr>
      <w:sdtEndPr>
        <w:rPr>
          <w:rFonts w:hint="eastAsia" w:asciiTheme="minorEastAsia" w:hAnsiTheme="minorEastAsia" w:eastAsiaTheme="minorEastAsia" w:cstheme="minorEastAsia"/>
          <w:b/>
          <w:color w:val="000000" w:themeColor="text1"/>
          <w:sz w:val="22"/>
          <w:szCs w:val="18"/>
          <w:highlight w:val="none"/>
          <w14:textFill>
            <w14:solidFill>
              <w14:schemeClr w14:val="tx1"/>
            </w14:solidFill>
          </w14:textFill>
        </w:rPr>
      </w:sdtEndPr>
      <w:sdtContent>
        <w:p w14:paraId="5748BAB2">
          <w:pPr>
            <w:pStyle w:val="19"/>
            <w:tabs>
              <w:tab w:val="right" w:leader="dot" w:pos="8640"/>
            </w:tabs>
            <w:rPr>
              <w:rFonts w:hint="eastAsia" w:asciiTheme="minorEastAsia" w:hAnsiTheme="minorEastAsia" w:eastAsiaTheme="minorEastAsia" w:cstheme="minorEastAsia"/>
              <w:color w:val="000000" w:themeColor="text1"/>
              <w:sz w:val="21"/>
              <w:highlight w:val="none"/>
              <w14:textFill>
                <w14:solidFill>
                  <w14:schemeClr w14:val="tx1"/>
                </w14:solidFill>
              </w14:textFill>
            </w:rPr>
          </w:pPr>
        </w:p>
        <w:p w14:paraId="5A5A07FA">
          <w:pPr>
            <w:rPr>
              <w:rFonts w:hint="eastAsia" w:asciiTheme="minorEastAsia" w:hAnsiTheme="minorEastAsia" w:eastAsiaTheme="minorEastAsia" w:cstheme="minorEastAsia"/>
              <w:color w:val="000000" w:themeColor="text1"/>
              <w:sz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highlight w:val="none"/>
              <w14:textFill>
                <w14:solidFill>
                  <w14:schemeClr w14:val="tx1"/>
                </w14:solidFill>
              </w14:textFill>
            </w:rPr>
            <w:br w:type="page"/>
          </w:r>
        </w:p>
        <w:p w14:paraId="525E351A">
          <w:pPr>
            <w:pStyle w:val="19"/>
            <w:tabs>
              <w:tab w:val="right" w:leader="dot" w:pos="8640"/>
            </w:tabs>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p>
        <w:p w14:paraId="6244BBD3">
          <w:pPr>
            <w:pStyle w:val="19"/>
            <w:tabs>
              <w:tab w:val="right" w:leader="dot" w:pos="8640"/>
            </w:tabs>
            <w:jc w:val="center"/>
            <w:rPr>
              <w:rFonts w:hint="eastAsia" w:asciiTheme="minorEastAsia" w:hAnsiTheme="minorEastAsia" w:eastAsiaTheme="minorEastAsia" w:cstheme="minorEastAsia"/>
              <w:b/>
              <w:bCs/>
              <w:color w:val="000000" w:themeColor="text1"/>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18"/>
              <w:szCs w:val="18"/>
              <w:highlight w:val="none"/>
              <w:lang w:val="en-US" w:eastAsia="zh-CN"/>
              <w14:textFill>
                <w14:solidFill>
                  <w14:schemeClr w14:val="tx1"/>
                </w14:solidFill>
              </w14:textFill>
            </w:rPr>
            <w:t>目  录</w:t>
          </w:r>
        </w:p>
        <w:p w14:paraId="49EB5750">
          <w:pPr>
            <w:pStyle w:val="19"/>
            <w:tabs>
              <w:tab w:val="right" w:leader="dot" w:pos="8640"/>
            </w:tabs>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instrText xml:space="preserve">TOC \o "1-2" \h \u </w:instrText>
          </w: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18"/>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18"/>
              <w:highlight w:val="none"/>
              <w14:textFill>
                <w14:solidFill>
                  <w14:schemeClr w14:val="tx1"/>
                </w14:solidFill>
              </w14:textFill>
            </w:rPr>
            <w:instrText xml:space="preserve"> HYPERLINK \l _Toc26472 </w:instrText>
          </w:r>
          <w:r>
            <w:rPr>
              <w:rFonts w:hint="eastAsia" w:asciiTheme="minorEastAsia" w:hAnsiTheme="minorEastAsia" w:eastAsiaTheme="minorEastAsia" w:cstheme="minorEastAsia"/>
              <w:color w:val="000000" w:themeColor="text1"/>
              <w:szCs w:val="18"/>
              <w:highlight w:val="none"/>
              <w14:textFill>
                <w14:solidFill>
                  <w14:schemeClr w14:val="tx1"/>
                </w14:solidFill>
              </w14:textFill>
            </w:rPr>
            <w:fldChar w:fldCharType="separate"/>
          </w:r>
          <w:r>
            <w:rPr>
              <w:rFonts w:hint="eastAsia" w:asciiTheme="minorEastAsia" w:hAnsiTheme="minorEastAsia" w:eastAsiaTheme="minorEastAsia" w:cstheme="minorEastAsia"/>
              <w:bCs/>
              <w:color w:val="000000" w:themeColor="text1"/>
              <w:szCs w:val="32"/>
              <w:highlight w:val="none"/>
              <w:lang w:eastAsia="zh-CN"/>
              <w14:textFill>
                <w14:solidFill>
                  <w14:schemeClr w14:val="tx1"/>
                </w14:solidFill>
              </w14:textFill>
            </w:rPr>
            <w:t>第一章 竞争性磋商公告</w:t>
          </w:r>
          <w:r>
            <w:rPr>
              <w:rFonts w:hint="eastAsia" w:asciiTheme="minorEastAsia" w:hAnsiTheme="minorEastAsia" w:eastAsiaTheme="minorEastAsia" w:cstheme="minorEastAsia"/>
              <w:color w:val="000000" w:themeColor="text1"/>
              <w:highlight w:val="none"/>
              <w14:textFill>
                <w14:solidFill>
                  <w14:schemeClr w14:val="tx1"/>
                </w14:solidFill>
              </w14:textFill>
            </w:rPr>
            <w:tab/>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PAGEREF _Toc26472 \h </w:instrTex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3</w: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18"/>
              <w:highlight w:val="none"/>
              <w14:textFill>
                <w14:solidFill>
                  <w14:schemeClr w14:val="tx1"/>
                </w14:solidFill>
              </w14:textFill>
            </w:rPr>
            <w:fldChar w:fldCharType="end"/>
          </w:r>
        </w:p>
        <w:p w14:paraId="6438B4EF">
          <w:pPr>
            <w:pStyle w:val="19"/>
            <w:tabs>
              <w:tab w:val="right" w:leader="dot" w:pos="8640"/>
            </w:tabs>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18"/>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18"/>
              <w:highlight w:val="none"/>
              <w14:textFill>
                <w14:solidFill>
                  <w14:schemeClr w14:val="tx1"/>
                </w14:solidFill>
              </w14:textFill>
            </w:rPr>
            <w:instrText xml:space="preserve"> HYPERLINK \l _Toc28682 </w:instrText>
          </w:r>
          <w:r>
            <w:rPr>
              <w:rFonts w:hint="eastAsia" w:asciiTheme="minorEastAsia" w:hAnsiTheme="minorEastAsia" w:eastAsiaTheme="minorEastAsia" w:cstheme="minorEastAsia"/>
              <w:color w:val="000000" w:themeColor="text1"/>
              <w:szCs w:val="18"/>
              <w:highlight w:val="none"/>
              <w14:textFill>
                <w14:solidFill>
                  <w14:schemeClr w14:val="tx1"/>
                </w14:solidFill>
              </w14:textFill>
            </w:rPr>
            <w:fldChar w:fldCharType="separate"/>
          </w:r>
          <w:r>
            <w:rPr>
              <w:rFonts w:hint="eastAsia" w:asciiTheme="minorEastAsia" w:hAnsiTheme="minorEastAsia" w:eastAsiaTheme="minorEastAsia" w:cstheme="minorEastAsia"/>
              <w:bCs/>
              <w:color w:val="000000" w:themeColor="text1"/>
              <w:szCs w:val="32"/>
              <w:highlight w:val="none"/>
              <w:lang w:eastAsia="zh-CN"/>
              <w14:textFill>
                <w14:solidFill>
                  <w14:schemeClr w14:val="tx1"/>
                </w14:solidFill>
              </w14:textFill>
            </w:rPr>
            <w:t>第二章</w:t>
          </w:r>
          <w:r>
            <w:rPr>
              <w:rFonts w:hint="eastAsia" w:asciiTheme="minorEastAsia" w:hAnsiTheme="minorEastAsia" w:eastAsiaTheme="minorEastAsia" w:cstheme="minorEastAsia"/>
              <w:bCs/>
              <w:color w:val="000000" w:themeColor="text1"/>
              <w:szCs w:val="32"/>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Cs/>
              <w:color w:val="000000" w:themeColor="text1"/>
              <w:szCs w:val="32"/>
              <w:highlight w:val="none"/>
              <w:lang w:eastAsia="zh-CN"/>
              <w14:textFill>
                <w14:solidFill>
                  <w14:schemeClr w14:val="tx1"/>
                </w14:solidFill>
              </w14:textFill>
            </w:rPr>
            <w:t>供应商须知</w:t>
          </w:r>
          <w:r>
            <w:rPr>
              <w:rFonts w:hint="eastAsia" w:asciiTheme="minorEastAsia" w:hAnsiTheme="minorEastAsia" w:eastAsiaTheme="minorEastAsia" w:cstheme="minorEastAsia"/>
              <w:color w:val="000000" w:themeColor="text1"/>
              <w:highlight w:val="none"/>
              <w14:textFill>
                <w14:solidFill>
                  <w14:schemeClr w14:val="tx1"/>
                </w14:solidFill>
              </w14:textFill>
            </w:rPr>
            <w:tab/>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PAGEREF _Toc28682 \h </w:instrTex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6</w: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18"/>
              <w:highlight w:val="none"/>
              <w14:textFill>
                <w14:solidFill>
                  <w14:schemeClr w14:val="tx1"/>
                </w14:solidFill>
              </w14:textFill>
            </w:rPr>
            <w:fldChar w:fldCharType="end"/>
          </w:r>
        </w:p>
        <w:p w14:paraId="05035B59">
          <w:pPr>
            <w:pStyle w:val="23"/>
            <w:tabs>
              <w:tab w:val="right" w:leader="dot" w:pos="8640"/>
            </w:tabs>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18"/>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18"/>
              <w:highlight w:val="none"/>
              <w14:textFill>
                <w14:solidFill>
                  <w14:schemeClr w14:val="tx1"/>
                </w14:solidFill>
              </w14:textFill>
            </w:rPr>
            <w:instrText xml:space="preserve"> HYPERLINK \l _Toc12163 </w:instrText>
          </w:r>
          <w:r>
            <w:rPr>
              <w:rFonts w:hint="eastAsia" w:asciiTheme="minorEastAsia" w:hAnsiTheme="minorEastAsia" w:eastAsiaTheme="minorEastAsia" w:cstheme="minorEastAsia"/>
              <w:color w:val="000000" w:themeColor="text1"/>
              <w:szCs w:val="18"/>
              <w:highlight w:val="none"/>
              <w14:textFill>
                <w14:solidFill>
                  <w14:schemeClr w14:val="tx1"/>
                </w14:solidFill>
              </w14:textFill>
            </w:rPr>
            <w:fldChar w:fldCharType="separate"/>
          </w:r>
          <w:r>
            <w:rPr>
              <w:rFonts w:hint="eastAsia" w:asciiTheme="minorEastAsia" w:hAnsiTheme="minorEastAsia" w:eastAsiaTheme="minorEastAsia" w:cstheme="minorEastAsia"/>
              <w:bCs/>
              <w:color w:val="000000" w:themeColor="text1"/>
              <w:szCs w:val="28"/>
              <w:highlight w:val="none"/>
              <w14:textFill>
                <w14:solidFill>
                  <w14:schemeClr w14:val="tx1"/>
                </w14:solidFill>
              </w14:textFill>
            </w:rPr>
            <w:t>供应商须知前附表</w:t>
          </w:r>
          <w:r>
            <w:rPr>
              <w:rFonts w:hint="eastAsia" w:asciiTheme="minorEastAsia" w:hAnsiTheme="minorEastAsia" w:eastAsiaTheme="minorEastAsia" w:cstheme="minorEastAsia"/>
              <w:color w:val="000000" w:themeColor="text1"/>
              <w:highlight w:val="none"/>
              <w14:textFill>
                <w14:solidFill>
                  <w14:schemeClr w14:val="tx1"/>
                </w14:solidFill>
              </w14:textFill>
            </w:rPr>
            <w:tab/>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PAGEREF _Toc12163 \h </w:instrTex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6</w: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18"/>
              <w:highlight w:val="none"/>
              <w14:textFill>
                <w14:solidFill>
                  <w14:schemeClr w14:val="tx1"/>
                </w14:solidFill>
              </w14:textFill>
            </w:rPr>
            <w:fldChar w:fldCharType="end"/>
          </w:r>
        </w:p>
        <w:p w14:paraId="54F1E0FF">
          <w:pPr>
            <w:pStyle w:val="23"/>
            <w:tabs>
              <w:tab w:val="right" w:leader="dot" w:pos="8640"/>
            </w:tabs>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18"/>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18"/>
              <w:highlight w:val="none"/>
              <w14:textFill>
                <w14:solidFill>
                  <w14:schemeClr w14:val="tx1"/>
                </w14:solidFill>
              </w14:textFill>
            </w:rPr>
            <w:instrText xml:space="preserve"> HYPERLINK \l _Toc426 </w:instrText>
          </w:r>
          <w:r>
            <w:rPr>
              <w:rFonts w:hint="eastAsia" w:asciiTheme="minorEastAsia" w:hAnsiTheme="minorEastAsia" w:eastAsiaTheme="minorEastAsia" w:cstheme="minorEastAsia"/>
              <w:color w:val="000000" w:themeColor="text1"/>
              <w:szCs w:val="18"/>
              <w:highlight w:val="none"/>
              <w14:textFill>
                <w14:solidFill>
                  <w14:schemeClr w14:val="tx1"/>
                </w14:solidFill>
              </w14:textFill>
            </w:rPr>
            <w:fldChar w:fldCharType="separate"/>
          </w:r>
          <w:r>
            <w:rPr>
              <w:rFonts w:hint="eastAsia" w:asciiTheme="minorEastAsia" w:hAnsiTheme="minorEastAsia" w:eastAsiaTheme="minorEastAsia" w:cstheme="minorEastAsia"/>
              <w:bCs/>
              <w:color w:val="000000" w:themeColor="text1"/>
              <w:highlight w:val="none"/>
              <w:lang w:eastAsia="zh-CN"/>
              <w14:textFill>
                <w14:solidFill>
                  <w14:schemeClr w14:val="tx1"/>
                </w14:solidFill>
              </w14:textFill>
            </w:rPr>
            <w:t>一、总则</w:t>
          </w:r>
          <w:r>
            <w:rPr>
              <w:rFonts w:hint="eastAsia" w:asciiTheme="minorEastAsia" w:hAnsiTheme="minorEastAsia" w:eastAsiaTheme="minorEastAsia" w:cstheme="minorEastAsia"/>
              <w:color w:val="000000" w:themeColor="text1"/>
              <w:highlight w:val="none"/>
              <w14:textFill>
                <w14:solidFill>
                  <w14:schemeClr w14:val="tx1"/>
                </w14:solidFill>
              </w14:textFill>
            </w:rPr>
            <w:tab/>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PAGEREF _Toc426 \h </w:instrTex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9</w: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18"/>
              <w:highlight w:val="none"/>
              <w14:textFill>
                <w14:solidFill>
                  <w14:schemeClr w14:val="tx1"/>
                </w14:solidFill>
              </w14:textFill>
            </w:rPr>
            <w:fldChar w:fldCharType="end"/>
          </w:r>
        </w:p>
        <w:p w14:paraId="716B5B48">
          <w:pPr>
            <w:pStyle w:val="23"/>
            <w:tabs>
              <w:tab w:val="right" w:leader="dot" w:pos="8640"/>
            </w:tabs>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18"/>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18"/>
              <w:highlight w:val="none"/>
              <w14:textFill>
                <w14:solidFill>
                  <w14:schemeClr w14:val="tx1"/>
                </w14:solidFill>
              </w14:textFill>
            </w:rPr>
            <w:instrText xml:space="preserve"> HYPERLINK \l _Toc17265 </w:instrText>
          </w:r>
          <w:r>
            <w:rPr>
              <w:rFonts w:hint="eastAsia" w:asciiTheme="minorEastAsia" w:hAnsiTheme="minorEastAsia" w:eastAsiaTheme="minorEastAsia" w:cstheme="minorEastAsia"/>
              <w:color w:val="000000" w:themeColor="text1"/>
              <w:szCs w:val="18"/>
              <w:highlight w:val="none"/>
              <w14:textFill>
                <w14:solidFill>
                  <w14:schemeClr w14:val="tx1"/>
                </w14:solidFill>
              </w14:textFill>
            </w:rPr>
            <w:fldChar w:fldCharType="separate"/>
          </w:r>
          <w:r>
            <w:rPr>
              <w:rFonts w:hint="eastAsia" w:asciiTheme="minorEastAsia" w:hAnsiTheme="minorEastAsia" w:eastAsiaTheme="minorEastAsia" w:cstheme="minorEastAsia"/>
              <w:bCs/>
              <w:color w:val="000000" w:themeColor="text1"/>
              <w:w w:val="99"/>
              <w:szCs w:val="21"/>
              <w:highlight w:val="none"/>
              <w14:textFill>
                <w14:solidFill>
                  <w14:schemeClr w14:val="tx1"/>
                </w14:solidFill>
              </w14:textFill>
            </w:rPr>
            <w:t>二、</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竞争性磋商文件</w:t>
          </w:r>
          <w:r>
            <w:rPr>
              <w:rFonts w:hint="eastAsia" w:asciiTheme="minorEastAsia" w:hAnsiTheme="minorEastAsia" w:eastAsiaTheme="minorEastAsia" w:cstheme="minorEastAsia"/>
              <w:color w:val="000000" w:themeColor="text1"/>
              <w:highlight w:val="none"/>
              <w14:textFill>
                <w14:solidFill>
                  <w14:schemeClr w14:val="tx1"/>
                </w14:solidFill>
              </w14:textFill>
            </w:rPr>
            <w:tab/>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PAGEREF _Toc17265 \h </w:instrTex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10</w: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18"/>
              <w:highlight w:val="none"/>
              <w14:textFill>
                <w14:solidFill>
                  <w14:schemeClr w14:val="tx1"/>
                </w14:solidFill>
              </w14:textFill>
            </w:rPr>
            <w:fldChar w:fldCharType="end"/>
          </w:r>
        </w:p>
        <w:p w14:paraId="7BBF0970">
          <w:pPr>
            <w:pStyle w:val="23"/>
            <w:tabs>
              <w:tab w:val="right" w:leader="dot" w:pos="8640"/>
            </w:tabs>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18"/>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18"/>
              <w:highlight w:val="none"/>
              <w14:textFill>
                <w14:solidFill>
                  <w14:schemeClr w14:val="tx1"/>
                </w14:solidFill>
              </w14:textFill>
            </w:rPr>
            <w:instrText xml:space="preserve"> HYPERLINK \l _Toc22426 </w:instrText>
          </w:r>
          <w:r>
            <w:rPr>
              <w:rFonts w:hint="eastAsia" w:asciiTheme="minorEastAsia" w:hAnsiTheme="minorEastAsia" w:eastAsiaTheme="minorEastAsia" w:cstheme="minorEastAsia"/>
              <w:color w:val="000000" w:themeColor="text1"/>
              <w:szCs w:val="18"/>
              <w:highlight w:val="none"/>
              <w14:textFill>
                <w14:solidFill>
                  <w14:schemeClr w14:val="tx1"/>
                </w14:solidFill>
              </w14:textFill>
            </w:rPr>
            <w:fldChar w:fldCharType="separate"/>
          </w:r>
          <w:r>
            <w:rPr>
              <w:rFonts w:hint="eastAsia" w:asciiTheme="minorEastAsia" w:hAnsiTheme="minorEastAsia" w:eastAsiaTheme="minorEastAsia" w:cstheme="minorEastAsia"/>
              <w:bCs/>
              <w:color w:val="000000" w:themeColor="text1"/>
              <w:highlight w:val="none"/>
              <w:lang w:eastAsia="zh-CN"/>
              <w14:textFill>
                <w14:solidFill>
                  <w14:schemeClr w14:val="tx1"/>
                </w14:solidFill>
              </w14:textFill>
            </w:rPr>
            <w:t>三、竞争性磋商响应文件的编制</w:t>
          </w:r>
          <w:r>
            <w:rPr>
              <w:rFonts w:hint="eastAsia" w:asciiTheme="minorEastAsia" w:hAnsiTheme="minorEastAsia" w:eastAsiaTheme="minorEastAsia" w:cstheme="minorEastAsia"/>
              <w:color w:val="000000" w:themeColor="text1"/>
              <w:highlight w:val="none"/>
              <w14:textFill>
                <w14:solidFill>
                  <w14:schemeClr w14:val="tx1"/>
                </w14:solidFill>
              </w14:textFill>
            </w:rPr>
            <w:tab/>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PAGEREF _Toc22426 \h </w:instrTex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10</w: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18"/>
              <w:highlight w:val="none"/>
              <w14:textFill>
                <w14:solidFill>
                  <w14:schemeClr w14:val="tx1"/>
                </w14:solidFill>
              </w14:textFill>
            </w:rPr>
            <w:fldChar w:fldCharType="end"/>
          </w:r>
        </w:p>
        <w:p w14:paraId="0FEA1B75">
          <w:pPr>
            <w:pStyle w:val="23"/>
            <w:tabs>
              <w:tab w:val="right" w:leader="dot" w:pos="8640"/>
            </w:tabs>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18"/>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18"/>
              <w:highlight w:val="none"/>
              <w14:textFill>
                <w14:solidFill>
                  <w14:schemeClr w14:val="tx1"/>
                </w14:solidFill>
              </w14:textFill>
            </w:rPr>
            <w:instrText xml:space="preserve"> HYPERLINK \l _Toc18450 </w:instrText>
          </w:r>
          <w:r>
            <w:rPr>
              <w:rFonts w:hint="eastAsia" w:asciiTheme="minorEastAsia" w:hAnsiTheme="minorEastAsia" w:eastAsiaTheme="minorEastAsia" w:cstheme="minorEastAsia"/>
              <w:color w:val="000000" w:themeColor="text1"/>
              <w:szCs w:val="18"/>
              <w:highlight w:val="none"/>
              <w14:textFill>
                <w14:solidFill>
                  <w14:schemeClr w14:val="tx1"/>
                </w14:solidFill>
              </w14:textFill>
            </w:rPr>
            <w:fldChar w:fldCharType="separate"/>
          </w:r>
          <w:r>
            <w:rPr>
              <w:rFonts w:hint="eastAsia" w:asciiTheme="minorEastAsia" w:hAnsiTheme="minorEastAsia" w:eastAsiaTheme="minorEastAsia" w:cstheme="minorEastAsia"/>
              <w:bCs/>
              <w:color w:val="000000" w:themeColor="text1"/>
              <w:szCs w:val="21"/>
              <w:highlight w:val="none"/>
              <w:lang w:eastAsia="zh-CN"/>
              <w14:textFill>
                <w14:solidFill>
                  <w14:schemeClr w14:val="tx1"/>
                </w14:solidFill>
              </w14:textFill>
            </w:rPr>
            <w:t>四、竞争性磋商响应文件的密封与递交</w:t>
          </w:r>
          <w:r>
            <w:rPr>
              <w:rFonts w:hint="eastAsia" w:asciiTheme="minorEastAsia" w:hAnsiTheme="minorEastAsia" w:eastAsiaTheme="minorEastAsia" w:cstheme="minorEastAsia"/>
              <w:color w:val="000000" w:themeColor="text1"/>
              <w:highlight w:val="none"/>
              <w14:textFill>
                <w14:solidFill>
                  <w14:schemeClr w14:val="tx1"/>
                </w14:solidFill>
              </w14:textFill>
            </w:rPr>
            <w:tab/>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PAGEREF _Toc18450 \h </w:instrTex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12</w: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18"/>
              <w:highlight w:val="none"/>
              <w14:textFill>
                <w14:solidFill>
                  <w14:schemeClr w14:val="tx1"/>
                </w14:solidFill>
              </w14:textFill>
            </w:rPr>
            <w:fldChar w:fldCharType="end"/>
          </w:r>
        </w:p>
        <w:p w14:paraId="08A9D2B7">
          <w:pPr>
            <w:pStyle w:val="19"/>
            <w:tabs>
              <w:tab w:val="right" w:leader="dot" w:pos="8640"/>
            </w:tabs>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18"/>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18"/>
              <w:highlight w:val="none"/>
              <w14:textFill>
                <w14:solidFill>
                  <w14:schemeClr w14:val="tx1"/>
                </w14:solidFill>
              </w14:textFill>
            </w:rPr>
            <w:instrText xml:space="preserve"> HYPERLINK \l _Toc902 </w:instrText>
          </w:r>
          <w:r>
            <w:rPr>
              <w:rFonts w:hint="eastAsia" w:asciiTheme="minorEastAsia" w:hAnsiTheme="minorEastAsia" w:eastAsiaTheme="minorEastAsia" w:cstheme="minorEastAsia"/>
              <w:color w:val="000000" w:themeColor="text1"/>
              <w:szCs w:val="18"/>
              <w:highlight w:val="none"/>
              <w14:textFill>
                <w14:solidFill>
                  <w14:schemeClr w14:val="tx1"/>
                </w14:solidFill>
              </w14:textFill>
            </w:rPr>
            <w:fldChar w:fldCharType="separate"/>
          </w:r>
          <w:r>
            <w:rPr>
              <w:rFonts w:hint="eastAsia" w:asciiTheme="minorEastAsia" w:hAnsiTheme="minorEastAsia" w:eastAsiaTheme="minorEastAsia" w:cstheme="minorEastAsia"/>
              <w:bCs/>
              <w:color w:val="000000" w:themeColor="text1"/>
              <w:szCs w:val="36"/>
              <w:highlight w:val="none"/>
              <w:lang w:eastAsia="zh-CN"/>
              <w14:textFill>
                <w14:solidFill>
                  <w14:schemeClr w14:val="tx1"/>
                </w14:solidFill>
              </w14:textFill>
            </w:rPr>
            <w:t>第三章</w:t>
          </w:r>
          <w:r>
            <w:rPr>
              <w:rFonts w:hint="eastAsia" w:asciiTheme="minorEastAsia" w:hAnsiTheme="minorEastAsia" w:eastAsiaTheme="minorEastAsia" w:cstheme="minorEastAsia"/>
              <w:bCs/>
              <w:color w:val="000000" w:themeColor="text1"/>
              <w:szCs w:val="36"/>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Cs/>
              <w:color w:val="000000" w:themeColor="text1"/>
              <w:szCs w:val="36"/>
              <w:highlight w:val="none"/>
              <w:lang w:eastAsia="zh-CN"/>
              <w14:textFill>
                <w14:solidFill>
                  <w14:schemeClr w14:val="tx1"/>
                </w14:solidFill>
              </w14:textFill>
            </w:rPr>
            <w:t>评标办法（综合评分法）</w:t>
          </w:r>
          <w:r>
            <w:rPr>
              <w:rFonts w:hint="eastAsia" w:asciiTheme="minorEastAsia" w:hAnsiTheme="minorEastAsia" w:eastAsiaTheme="minorEastAsia" w:cstheme="minorEastAsia"/>
              <w:color w:val="000000" w:themeColor="text1"/>
              <w:highlight w:val="none"/>
              <w14:textFill>
                <w14:solidFill>
                  <w14:schemeClr w14:val="tx1"/>
                </w14:solidFill>
              </w14:textFill>
            </w:rPr>
            <w:tab/>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PAGEREF _Toc902 \h </w:instrTex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14</w: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18"/>
              <w:highlight w:val="none"/>
              <w14:textFill>
                <w14:solidFill>
                  <w14:schemeClr w14:val="tx1"/>
                </w14:solidFill>
              </w14:textFill>
            </w:rPr>
            <w:fldChar w:fldCharType="end"/>
          </w:r>
        </w:p>
        <w:p w14:paraId="5F166770">
          <w:pPr>
            <w:pStyle w:val="23"/>
            <w:tabs>
              <w:tab w:val="right" w:leader="dot" w:pos="8640"/>
            </w:tabs>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18"/>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18"/>
              <w:highlight w:val="none"/>
              <w14:textFill>
                <w14:solidFill>
                  <w14:schemeClr w14:val="tx1"/>
                </w14:solidFill>
              </w14:textFill>
            </w:rPr>
            <w:instrText xml:space="preserve"> HYPERLINK \l _Toc12165 </w:instrText>
          </w:r>
          <w:r>
            <w:rPr>
              <w:rFonts w:hint="eastAsia" w:asciiTheme="minorEastAsia" w:hAnsiTheme="minorEastAsia" w:eastAsiaTheme="minorEastAsia" w:cstheme="minorEastAsia"/>
              <w:color w:val="000000" w:themeColor="text1"/>
              <w:szCs w:val="18"/>
              <w:highlight w:val="none"/>
              <w14:textFill>
                <w14:solidFill>
                  <w14:schemeClr w14:val="tx1"/>
                </w14:solidFill>
              </w14:textFill>
            </w:rPr>
            <w:fldChar w:fldCharType="separate"/>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1.评标方法</w:t>
          </w:r>
          <w:r>
            <w:rPr>
              <w:rFonts w:hint="eastAsia" w:asciiTheme="minorEastAsia" w:hAnsiTheme="minorEastAsia" w:eastAsiaTheme="minorEastAsia" w:cstheme="minorEastAsia"/>
              <w:color w:val="000000" w:themeColor="text1"/>
              <w:highlight w:val="none"/>
              <w14:textFill>
                <w14:solidFill>
                  <w14:schemeClr w14:val="tx1"/>
                </w14:solidFill>
              </w14:textFill>
            </w:rPr>
            <w:tab/>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PAGEREF _Toc12165 \h </w:instrTex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17</w: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18"/>
              <w:highlight w:val="none"/>
              <w14:textFill>
                <w14:solidFill>
                  <w14:schemeClr w14:val="tx1"/>
                </w14:solidFill>
              </w14:textFill>
            </w:rPr>
            <w:fldChar w:fldCharType="end"/>
          </w:r>
        </w:p>
        <w:p w14:paraId="4AC1872B">
          <w:pPr>
            <w:pStyle w:val="23"/>
            <w:tabs>
              <w:tab w:val="right" w:leader="dot" w:pos="8640"/>
            </w:tabs>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18"/>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18"/>
              <w:highlight w:val="none"/>
              <w14:textFill>
                <w14:solidFill>
                  <w14:schemeClr w14:val="tx1"/>
                </w14:solidFill>
              </w14:textFill>
            </w:rPr>
            <w:instrText xml:space="preserve"> HYPERLINK \l _Toc16808 </w:instrText>
          </w:r>
          <w:r>
            <w:rPr>
              <w:rFonts w:hint="eastAsia" w:asciiTheme="minorEastAsia" w:hAnsiTheme="minorEastAsia" w:eastAsiaTheme="minorEastAsia" w:cstheme="minorEastAsia"/>
              <w:color w:val="000000" w:themeColor="text1"/>
              <w:szCs w:val="18"/>
              <w:highlight w:val="none"/>
              <w14:textFill>
                <w14:solidFill>
                  <w14:schemeClr w14:val="tx1"/>
                </w14:solidFill>
              </w14:textFill>
            </w:rPr>
            <w:fldChar w:fldCharType="separate"/>
          </w:r>
          <w:r>
            <w:rPr>
              <w:rFonts w:hint="eastAsia" w:asciiTheme="minorEastAsia" w:hAnsiTheme="minorEastAsia" w:eastAsiaTheme="minorEastAsia" w:cstheme="minorEastAsia"/>
              <w:bCs/>
              <w:color w:val="000000" w:themeColor="text1"/>
              <w:szCs w:val="21"/>
              <w:highlight w:val="none"/>
              <w:lang w:eastAsia="zh-CN"/>
              <w14:textFill>
                <w14:solidFill>
                  <w14:schemeClr w14:val="tx1"/>
                </w14:solidFill>
              </w14:textFill>
            </w:rPr>
            <w:t>2.评审标准</w:t>
          </w:r>
          <w:r>
            <w:rPr>
              <w:rFonts w:hint="eastAsia" w:asciiTheme="minorEastAsia" w:hAnsiTheme="minorEastAsia" w:eastAsiaTheme="minorEastAsia" w:cstheme="minorEastAsia"/>
              <w:color w:val="000000" w:themeColor="text1"/>
              <w:highlight w:val="none"/>
              <w14:textFill>
                <w14:solidFill>
                  <w14:schemeClr w14:val="tx1"/>
                </w14:solidFill>
              </w14:textFill>
            </w:rPr>
            <w:tab/>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PAGEREF _Toc16808 \h </w:instrTex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17</w: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18"/>
              <w:highlight w:val="none"/>
              <w14:textFill>
                <w14:solidFill>
                  <w14:schemeClr w14:val="tx1"/>
                </w14:solidFill>
              </w14:textFill>
            </w:rPr>
            <w:fldChar w:fldCharType="end"/>
          </w:r>
        </w:p>
        <w:p w14:paraId="78023286">
          <w:pPr>
            <w:pStyle w:val="23"/>
            <w:tabs>
              <w:tab w:val="right" w:leader="dot" w:pos="8640"/>
            </w:tabs>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18"/>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18"/>
              <w:highlight w:val="none"/>
              <w14:textFill>
                <w14:solidFill>
                  <w14:schemeClr w14:val="tx1"/>
                </w14:solidFill>
              </w14:textFill>
            </w:rPr>
            <w:instrText xml:space="preserve"> HYPERLINK \l _Toc30029 </w:instrText>
          </w:r>
          <w:r>
            <w:rPr>
              <w:rFonts w:hint="eastAsia" w:asciiTheme="minorEastAsia" w:hAnsiTheme="minorEastAsia" w:eastAsiaTheme="minorEastAsia" w:cstheme="minorEastAsia"/>
              <w:color w:val="000000" w:themeColor="text1"/>
              <w:szCs w:val="18"/>
              <w:highlight w:val="none"/>
              <w14:textFill>
                <w14:solidFill>
                  <w14:schemeClr w14:val="tx1"/>
                </w14:solidFill>
              </w14:textFill>
            </w:rPr>
            <w:fldChar w:fldCharType="separate"/>
          </w:r>
          <w:r>
            <w:rPr>
              <w:rFonts w:hint="eastAsia" w:asciiTheme="minorEastAsia" w:hAnsiTheme="minorEastAsia" w:eastAsiaTheme="minorEastAsia" w:cstheme="minorEastAsia"/>
              <w:bCs/>
              <w:color w:val="000000" w:themeColor="text1"/>
              <w:szCs w:val="21"/>
              <w:highlight w:val="none"/>
              <w:lang w:eastAsia="zh-CN"/>
              <w14:textFill>
                <w14:solidFill>
                  <w14:schemeClr w14:val="tx1"/>
                </w14:solidFill>
              </w14:textFill>
            </w:rPr>
            <w:t>3.评标程序</w:t>
          </w:r>
          <w:r>
            <w:rPr>
              <w:rFonts w:hint="eastAsia" w:asciiTheme="minorEastAsia" w:hAnsiTheme="minorEastAsia" w:eastAsiaTheme="minorEastAsia" w:cstheme="minorEastAsia"/>
              <w:color w:val="000000" w:themeColor="text1"/>
              <w:highlight w:val="none"/>
              <w14:textFill>
                <w14:solidFill>
                  <w14:schemeClr w14:val="tx1"/>
                </w14:solidFill>
              </w14:textFill>
            </w:rPr>
            <w:tab/>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PAGEREF _Toc30029 \h </w:instrTex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18</w: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18"/>
              <w:highlight w:val="none"/>
              <w14:textFill>
                <w14:solidFill>
                  <w14:schemeClr w14:val="tx1"/>
                </w14:solidFill>
              </w14:textFill>
            </w:rPr>
            <w:fldChar w:fldCharType="end"/>
          </w:r>
        </w:p>
        <w:p w14:paraId="1D6C9D09">
          <w:pPr>
            <w:pStyle w:val="19"/>
            <w:tabs>
              <w:tab w:val="right" w:leader="dot" w:pos="8640"/>
            </w:tabs>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18"/>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18"/>
              <w:highlight w:val="none"/>
              <w14:textFill>
                <w14:solidFill>
                  <w14:schemeClr w14:val="tx1"/>
                </w14:solidFill>
              </w14:textFill>
            </w:rPr>
            <w:instrText xml:space="preserve"> HYPERLINK \l _Toc22243 </w:instrText>
          </w:r>
          <w:r>
            <w:rPr>
              <w:rFonts w:hint="eastAsia" w:asciiTheme="minorEastAsia" w:hAnsiTheme="minorEastAsia" w:eastAsiaTheme="minorEastAsia" w:cstheme="minorEastAsia"/>
              <w:color w:val="000000" w:themeColor="text1"/>
              <w:szCs w:val="18"/>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第四章</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合同主要条款及格</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式</w:t>
          </w:r>
          <w:r>
            <w:rPr>
              <w:rFonts w:hint="eastAsia" w:asciiTheme="minorEastAsia" w:hAnsiTheme="minorEastAsia" w:eastAsiaTheme="minorEastAsia" w:cstheme="minorEastAsia"/>
              <w:color w:val="000000" w:themeColor="text1"/>
              <w:highlight w:val="none"/>
              <w14:textFill>
                <w14:solidFill>
                  <w14:schemeClr w14:val="tx1"/>
                </w14:solidFill>
              </w14:textFill>
            </w:rPr>
            <w:tab/>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PAGEREF _Toc22243 \h </w:instrTex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20</w: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18"/>
              <w:highlight w:val="none"/>
              <w14:textFill>
                <w14:solidFill>
                  <w14:schemeClr w14:val="tx1"/>
                </w14:solidFill>
              </w14:textFill>
            </w:rPr>
            <w:fldChar w:fldCharType="end"/>
          </w:r>
        </w:p>
        <w:p w14:paraId="7AF73BF1">
          <w:pPr>
            <w:pStyle w:val="19"/>
            <w:tabs>
              <w:tab w:val="right" w:leader="dot" w:pos="8640"/>
            </w:tabs>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18"/>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18"/>
              <w:highlight w:val="none"/>
              <w14:textFill>
                <w14:solidFill>
                  <w14:schemeClr w14:val="tx1"/>
                </w14:solidFill>
              </w14:textFill>
            </w:rPr>
            <w:instrText xml:space="preserve"> HYPERLINK \l _Toc19591 </w:instrText>
          </w:r>
          <w:r>
            <w:rPr>
              <w:rFonts w:hint="eastAsia" w:asciiTheme="minorEastAsia" w:hAnsiTheme="minorEastAsia" w:eastAsiaTheme="minorEastAsia" w:cstheme="minorEastAsia"/>
              <w:color w:val="000000" w:themeColor="text1"/>
              <w:szCs w:val="18"/>
              <w:highlight w:val="none"/>
              <w14:textFill>
                <w14:solidFill>
                  <w14:schemeClr w14:val="tx1"/>
                </w14:solidFill>
              </w14:textFill>
            </w:rPr>
            <w:fldChar w:fldCharType="separate"/>
          </w:r>
          <w:r>
            <w:rPr>
              <w:rFonts w:hint="eastAsia" w:asciiTheme="minorEastAsia" w:hAnsiTheme="minorEastAsia" w:eastAsiaTheme="minorEastAsia" w:cstheme="minorEastAsia"/>
              <w:bCs/>
              <w:color w:val="000000" w:themeColor="text1"/>
              <w:szCs w:val="32"/>
              <w:highlight w:val="none"/>
              <w:lang w:val="en-US" w:eastAsia="zh-CN" w:bidi="ar-SA"/>
              <w14:textFill>
                <w14:solidFill>
                  <w14:schemeClr w14:val="tx1"/>
                </w14:solidFill>
              </w14:textFill>
            </w:rPr>
            <w:t>第五章 服务需求</w:t>
          </w:r>
          <w:r>
            <w:rPr>
              <w:rFonts w:hint="eastAsia" w:asciiTheme="minorEastAsia" w:hAnsiTheme="minorEastAsia" w:eastAsiaTheme="minorEastAsia" w:cstheme="minorEastAsia"/>
              <w:color w:val="000000" w:themeColor="text1"/>
              <w:highlight w:val="none"/>
              <w14:textFill>
                <w14:solidFill>
                  <w14:schemeClr w14:val="tx1"/>
                </w14:solidFill>
              </w14:textFill>
            </w:rPr>
            <w:tab/>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PAGEREF _Toc19591 \h </w:instrTex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23</w: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18"/>
              <w:highlight w:val="none"/>
              <w14:textFill>
                <w14:solidFill>
                  <w14:schemeClr w14:val="tx1"/>
                </w14:solidFill>
              </w14:textFill>
            </w:rPr>
            <w:fldChar w:fldCharType="end"/>
          </w:r>
        </w:p>
        <w:p w14:paraId="27796A7A">
          <w:pPr>
            <w:pStyle w:val="19"/>
            <w:tabs>
              <w:tab w:val="right" w:leader="dot" w:pos="8640"/>
            </w:tabs>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18"/>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18"/>
              <w:highlight w:val="none"/>
              <w14:textFill>
                <w14:solidFill>
                  <w14:schemeClr w14:val="tx1"/>
                </w14:solidFill>
              </w14:textFill>
            </w:rPr>
            <w:instrText xml:space="preserve"> HYPERLINK \l _Toc11415 </w:instrText>
          </w:r>
          <w:r>
            <w:rPr>
              <w:rFonts w:hint="eastAsia" w:asciiTheme="minorEastAsia" w:hAnsiTheme="minorEastAsia" w:eastAsiaTheme="minorEastAsia" w:cstheme="minorEastAsia"/>
              <w:color w:val="000000" w:themeColor="text1"/>
              <w:szCs w:val="18"/>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第</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六</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章</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磋商响应文件格式</w:t>
          </w:r>
          <w:r>
            <w:rPr>
              <w:rFonts w:hint="eastAsia" w:asciiTheme="minorEastAsia" w:hAnsiTheme="minorEastAsia" w:eastAsiaTheme="minorEastAsia" w:cstheme="minorEastAsia"/>
              <w:color w:val="000000" w:themeColor="text1"/>
              <w:highlight w:val="none"/>
              <w14:textFill>
                <w14:solidFill>
                  <w14:schemeClr w14:val="tx1"/>
                </w14:solidFill>
              </w14:textFill>
            </w:rPr>
            <w:tab/>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PAGEREF _Toc11415 \h </w:instrTex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27</w: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18"/>
              <w:highlight w:val="none"/>
              <w14:textFill>
                <w14:solidFill>
                  <w14:schemeClr w14:val="tx1"/>
                </w14:solidFill>
              </w14:textFill>
            </w:rPr>
            <w:fldChar w:fldCharType="end"/>
          </w:r>
        </w:p>
        <w:p w14:paraId="2129D72F">
          <w:pPr>
            <w:pStyle w:val="23"/>
            <w:tabs>
              <w:tab w:val="right" w:leader="dot" w:pos="8640"/>
            </w:tabs>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18"/>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18"/>
              <w:highlight w:val="none"/>
              <w14:textFill>
                <w14:solidFill>
                  <w14:schemeClr w14:val="tx1"/>
                </w14:solidFill>
              </w14:textFill>
            </w:rPr>
            <w:instrText xml:space="preserve"> HYPERLINK \l _Toc22753 </w:instrText>
          </w:r>
          <w:r>
            <w:rPr>
              <w:rFonts w:hint="eastAsia" w:asciiTheme="minorEastAsia" w:hAnsiTheme="minorEastAsia" w:eastAsiaTheme="minorEastAsia" w:cstheme="minorEastAsia"/>
              <w:color w:val="000000" w:themeColor="text1"/>
              <w:szCs w:val="18"/>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8"/>
              <w:highlight w:val="none"/>
              <w14:textFill>
                <w14:solidFill>
                  <w14:schemeClr w14:val="tx1"/>
                </w14:solidFill>
              </w14:textFill>
            </w:rPr>
            <w:t>一、</w:t>
          </w:r>
          <w:r>
            <w:rPr>
              <w:rFonts w:hint="eastAsia" w:asciiTheme="minorEastAsia" w:hAnsiTheme="minorEastAsia" w:eastAsiaTheme="minorEastAsia" w:cstheme="minorEastAsia"/>
              <w:color w:val="000000" w:themeColor="text1"/>
              <w:szCs w:val="28"/>
              <w:highlight w:val="none"/>
              <w:lang w:val="en-US" w:eastAsia="zh-CN"/>
              <w14:textFill>
                <w14:solidFill>
                  <w14:schemeClr w14:val="tx1"/>
                </w14:solidFill>
              </w14:textFill>
            </w:rPr>
            <w:t>竞</w:t>
          </w:r>
          <w:r>
            <w:rPr>
              <w:rFonts w:hint="eastAsia" w:asciiTheme="minorEastAsia" w:hAnsiTheme="minorEastAsia" w:eastAsiaTheme="minorEastAsia" w:cstheme="minorEastAsia"/>
              <w:color w:val="000000" w:themeColor="text1"/>
              <w:szCs w:val="28"/>
              <w:highlight w:val="none"/>
              <w14:textFill>
                <w14:solidFill>
                  <w14:schemeClr w14:val="tx1"/>
                </w14:solidFill>
              </w14:textFill>
            </w:rPr>
            <w:t>标函</w:t>
          </w:r>
          <w:r>
            <w:rPr>
              <w:rFonts w:hint="eastAsia" w:asciiTheme="minorEastAsia" w:hAnsiTheme="minorEastAsia" w:eastAsiaTheme="minorEastAsia" w:cstheme="minorEastAsia"/>
              <w:color w:val="000000" w:themeColor="text1"/>
              <w:highlight w:val="none"/>
              <w14:textFill>
                <w14:solidFill>
                  <w14:schemeClr w14:val="tx1"/>
                </w14:solidFill>
              </w14:textFill>
            </w:rPr>
            <w:tab/>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PAGEREF _Toc22753 \h </w:instrTex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29</w: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18"/>
              <w:highlight w:val="none"/>
              <w14:textFill>
                <w14:solidFill>
                  <w14:schemeClr w14:val="tx1"/>
                </w14:solidFill>
              </w14:textFill>
            </w:rPr>
            <w:fldChar w:fldCharType="end"/>
          </w:r>
        </w:p>
        <w:p w14:paraId="163D192C">
          <w:pPr>
            <w:pStyle w:val="23"/>
            <w:tabs>
              <w:tab w:val="right" w:leader="dot" w:pos="8640"/>
            </w:tabs>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18"/>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18"/>
              <w:highlight w:val="none"/>
              <w14:textFill>
                <w14:solidFill>
                  <w14:schemeClr w14:val="tx1"/>
                </w14:solidFill>
              </w14:textFill>
            </w:rPr>
            <w:instrText xml:space="preserve"> HYPERLINK \l _Toc73 </w:instrText>
          </w:r>
          <w:r>
            <w:rPr>
              <w:rFonts w:hint="eastAsia" w:asciiTheme="minorEastAsia" w:hAnsiTheme="minorEastAsia" w:eastAsiaTheme="minorEastAsia" w:cstheme="minorEastAsia"/>
              <w:color w:val="000000" w:themeColor="text1"/>
              <w:szCs w:val="18"/>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二、法定代表人身份证明或附有法定代表人身份证明的授权委托书</w:t>
          </w:r>
          <w:r>
            <w:rPr>
              <w:rFonts w:hint="eastAsia" w:asciiTheme="minorEastAsia" w:hAnsiTheme="minorEastAsia" w:eastAsiaTheme="minorEastAsia" w:cstheme="minorEastAsia"/>
              <w:color w:val="000000" w:themeColor="text1"/>
              <w:highlight w:val="none"/>
              <w14:textFill>
                <w14:solidFill>
                  <w14:schemeClr w14:val="tx1"/>
                </w14:solidFill>
              </w14:textFill>
            </w:rPr>
            <w:tab/>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PAGEREF _Toc73 \h </w:instrTex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31</w: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18"/>
              <w:highlight w:val="none"/>
              <w14:textFill>
                <w14:solidFill>
                  <w14:schemeClr w14:val="tx1"/>
                </w14:solidFill>
              </w14:textFill>
            </w:rPr>
            <w:fldChar w:fldCharType="end"/>
          </w:r>
        </w:p>
        <w:p w14:paraId="674ABDC5">
          <w:pPr>
            <w:pStyle w:val="23"/>
            <w:tabs>
              <w:tab w:val="right" w:leader="dot" w:pos="8640"/>
            </w:tabs>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18"/>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18"/>
              <w:highlight w:val="none"/>
              <w14:textFill>
                <w14:solidFill>
                  <w14:schemeClr w14:val="tx1"/>
                </w14:solidFill>
              </w14:textFill>
            </w:rPr>
            <w:instrText xml:space="preserve"> HYPERLINK \l _Toc27986 </w:instrText>
          </w:r>
          <w:r>
            <w:rPr>
              <w:rFonts w:hint="eastAsia" w:asciiTheme="minorEastAsia" w:hAnsiTheme="minorEastAsia" w:eastAsiaTheme="minorEastAsia" w:cstheme="minorEastAsia"/>
              <w:color w:val="000000" w:themeColor="text1"/>
              <w:szCs w:val="18"/>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18"/>
              <w:highlight w:val="none"/>
              <w:lang w:val="en-US" w:eastAsia="zh-CN"/>
              <w14:textFill>
                <w14:solidFill>
                  <w14:schemeClr w14:val="tx1"/>
                </w14:solidFill>
              </w14:textFill>
            </w:rPr>
            <w:t>三</w:t>
          </w:r>
          <w:r>
            <w:rPr>
              <w:rFonts w:hint="eastAsia" w:asciiTheme="minorEastAsia" w:hAnsiTheme="minorEastAsia" w:eastAsiaTheme="minorEastAsia" w:cstheme="minorEastAsia"/>
              <w:bCs/>
              <w:color w:val="000000" w:themeColor="text1"/>
              <w:szCs w:val="28"/>
              <w:highlight w:val="none"/>
              <w:lang w:val="en-US" w:eastAsia="zh-CN"/>
              <w14:textFill>
                <w14:solidFill>
                  <w14:schemeClr w14:val="tx1"/>
                </w14:solidFill>
              </w14:textFill>
            </w:rPr>
            <w:t>、竞标报价表</w:t>
          </w:r>
          <w:r>
            <w:rPr>
              <w:rFonts w:hint="eastAsia" w:asciiTheme="minorEastAsia" w:hAnsiTheme="minorEastAsia" w:eastAsiaTheme="minorEastAsia" w:cstheme="minorEastAsia"/>
              <w:color w:val="000000" w:themeColor="text1"/>
              <w:highlight w:val="none"/>
              <w14:textFill>
                <w14:solidFill>
                  <w14:schemeClr w14:val="tx1"/>
                </w14:solidFill>
              </w14:textFill>
            </w:rPr>
            <w:tab/>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Cs w:val="18"/>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18"/>
              <w:highlight w:val="none"/>
              <w:lang w:val="en-US" w:eastAsia="zh-CN"/>
              <w14:textFill>
                <w14:solidFill>
                  <w14:schemeClr w14:val="tx1"/>
                </w14:solidFill>
              </w14:textFill>
            </w:rPr>
            <w:t>6</w:t>
          </w:r>
        </w:p>
        <w:p w14:paraId="717F6BF5">
          <w:pPr>
            <w:pStyle w:val="23"/>
            <w:tabs>
              <w:tab w:val="right" w:leader="dot" w:pos="8640"/>
            </w:tabs>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18"/>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18"/>
              <w:highlight w:val="none"/>
              <w14:textFill>
                <w14:solidFill>
                  <w14:schemeClr w14:val="tx1"/>
                </w14:solidFill>
              </w14:textFill>
            </w:rPr>
            <w:instrText xml:space="preserve"> HYPERLINK \l _Toc4566 </w:instrText>
          </w:r>
          <w:r>
            <w:rPr>
              <w:rFonts w:hint="eastAsia" w:asciiTheme="minorEastAsia" w:hAnsiTheme="minorEastAsia" w:eastAsiaTheme="minorEastAsia" w:cstheme="minorEastAsia"/>
              <w:color w:val="000000" w:themeColor="text1"/>
              <w:szCs w:val="18"/>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18"/>
              <w:highlight w:val="none"/>
              <w:lang w:val="en-US" w:eastAsia="zh-CN"/>
              <w14:textFill>
                <w14:solidFill>
                  <w14:schemeClr w14:val="tx1"/>
                </w14:solidFill>
              </w14:textFill>
            </w:rPr>
            <w:t>四</w:t>
          </w:r>
          <w:r>
            <w:rPr>
              <w:rFonts w:hint="eastAsia" w:asciiTheme="minorEastAsia" w:hAnsiTheme="minorEastAsia" w:eastAsiaTheme="minorEastAsia" w:cstheme="minorEastAsia"/>
              <w:bCs/>
              <w:color w:val="000000" w:themeColor="text1"/>
              <w:szCs w:val="28"/>
              <w:highlight w:val="none"/>
              <w:lang w:val="en-US" w:eastAsia="zh-CN"/>
              <w14:textFill>
                <w14:solidFill>
                  <w14:schemeClr w14:val="tx1"/>
                </w14:solidFill>
              </w14:textFill>
            </w:rPr>
            <w:t>、竞标人基本情况</w:t>
          </w:r>
          <w:r>
            <w:rPr>
              <w:rFonts w:hint="eastAsia" w:asciiTheme="minorEastAsia" w:hAnsiTheme="minorEastAsia" w:eastAsiaTheme="minorEastAsia" w:cstheme="minorEastAsia"/>
              <w:color w:val="000000" w:themeColor="text1"/>
              <w:highlight w:val="none"/>
              <w14:textFill>
                <w14:solidFill>
                  <w14:schemeClr w14:val="tx1"/>
                </w14:solidFill>
              </w14:textFill>
            </w:rPr>
            <w:tab/>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PAGEREF _Toc4566 \h </w:instrTex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34</w: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18"/>
              <w:highlight w:val="none"/>
              <w14:textFill>
                <w14:solidFill>
                  <w14:schemeClr w14:val="tx1"/>
                </w14:solidFill>
              </w14:textFill>
            </w:rPr>
            <w:fldChar w:fldCharType="end"/>
          </w:r>
        </w:p>
        <w:p w14:paraId="39DA8D33">
          <w:pPr>
            <w:pStyle w:val="23"/>
            <w:tabs>
              <w:tab w:val="right" w:leader="dot" w:pos="8640"/>
            </w:tabs>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18"/>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18"/>
              <w:highlight w:val="none"/>
              <w14:textFill>
                <w14:solidFill>
                  <w14:schemeClr w14:val="tx1"/>
                </w14:solidFill>
              </w14:textFill>
            </w:rPr>
            <w:instrText xml:space="preserve"> HYPERLINK \l _Toc2351 </w:instrText>
          </w:r>
          <w:r>
            <w:rPr>
              <w:rFonts w:hint="eastAsia" w:asciiTheme="minorEastAsia" w:hAnsiTheme="minorEastAsia" w:eastAsiaTheme="minorEastAsia" w:cstheme="minorEastAsia"/>
              <w:color w:val="000000" w:themeColor="text1"/>
              <w:szCs w:val="18"/>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18"/>
              <w:highlight w:val="none"/>
              <w:lang w:val="en-US" w:eastAsia="zh-CN"/>
              <w14:textFill>
                <w14:solidFill>
                  <w14:schemeClr w14:val="tx1"/>
                </w14:solidFill>
              </w14:textFill>
            </w:rPr>
            <w:t>五</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项目方案部分</w:t>
          </w:r>
          <w:r>
            <w:rPr>
              <w:rFonts w:hint="eastAsia" w:asciiTheme="minorEastAsia" w:hAnsiTheme="minorEastAsia" w:eastAsiaTheme="minorEastAsia" w:cstheme="minorEastAsia"/>
              <w:color w:val="000000" w:themeColor="text1"/>
              <w:highlight w:val="none"/>
              <w14:textFill>
                <w14:solidFill>
                  <w14:schemeClr w14:val="tx1"/>
                </w14:solidFill>
              </w14:textFill>
            </w:rPr>
            <w:tab/>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PAGEREF _Toc2351 \h </w:instrTex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36</w: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18"/>
              <w:highlight w:val="none"/>
              <w14:textFill>
                <w14:solidFill>
                  <w14:schemeClr w14:val="tx1"/>
                </w14:solidFill>
              </w14:textFill>
            </w:rPr>
            <w:fldChar w:fldCharType="end"/>
          </w:r>
        </w:p>
        <w:p w14:paraId="7A26CE98">
          <w:pPr>
            <w:pStyle w:val="23"/>
            <w:tabs>
              <w:tab w:val="right" w:leader="dot" w:pos="8640"/>
            </w:tabs>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18"/>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18"/>
              <w:highlight w:val="none"/>
              <w14:textFill>
                <w14:solidFill>
                  <w14:schemeClr w14:val="tx1"/>
                </w14:solidFill>
              </w14:textFill>
            </w:rPr>
            <w:instrText xml:space="preserve"> HYPERLINK \l _Toc27239 </w:instrText>
          </w:r>
          <w:r>
            <w:rPr>
              <w:rFonts w:hint="eastAsia" w:asciiTheme="minorEastAsia" w:hAnsiTheme="minorEastAsia" w:eastAsiaTheme="minorEastAsia" w:cstheme="minorEastAsia"/>
              <w:color w:val="000000" w:themeColor="text1"/>
              <w:szCs w:val="18"/>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18"/>
              <w:highlight w:val="none"/>
              <w:lang w:val="en-US" w:eastAsia="zh-CN"/>
              <w14:textFill>
                <w14:solidFill>
                  <w14:schemeClr w14:val="tx1"/>
                </w14:solidFill>
              </w14:textFill>
            </w:rPr>
            <w:t>六</w:t>
          </w:r>
          <w:r>
            <w:rPr>
              <w:rFonts w:hint="eastAsia" w:asciiTheme="minorEastAsia" w:hAnsiTheme="minorEastAsia" w:eastAsiaTheme="minorEastAsia" w:cstheme="minorEastAsia"/>
              <w:color w:val="000000" w:themeColor="text1"/>
              <w:highlight w:val="none"/>
              <w14:textFill>
                <w14:solidFill>
                  <w14:schemeClr w14:val="tx1"/>
                </w14:solidFill>
              </w14:textFill>
            </w:rPr>
            <w:t>、资格审查资料</w:t>
          </w:r>
          <w:r>
            <w:rPr>
              <w:rFonts w:hint="eastAsia" w:asciiTheme="minorEastAsia" w:hAnsiTheme="minorEastAsia" w:eastAsiaTheme="minorEastAsia" w:cstheme="minorEastAsia"/>
              <w:color w:val="000000" w:themeColor="text1"/>
              <w:highlight w:val="none"/>
              <w14:textFill>
                <w14:solidFill>
                  <w14:schemeClr w14:val="tx1"/>
                </w14:solidFill>
              </w14:textFill>
            </w:rPr>
            <w:tab/>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PAGEREF _Toc27239 \h </w:instrTex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37</w: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18"/>
              <w:highlight w:val="none"/>
              <w14:textFill>
                <w14:solidFill>
                  <w14:schemeClr w14:val="tx1"/>
                </w14:solidFill>
              </w14:textFill>
            </w:rPr>
            <w:fldChar w:fldCharType="end"/>
          </w:r>
        </w:p>
        <w:p w14:paraId="44DB2B27">
          <w:pPr>
            <w:pStyle w:val="23"/>
            <w:tabs>
              <w:tab w:val="right" w:leader="dot" w:pos="8640"/>
            </w:tabs>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18"/>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18"/>
              <w:highlight w:val="none"/>
              <w14:textFill>
                <w14:solidFill>
                  <w14:schemeClr w14:val="tx1"/>
                </w14:solidFill>
              </w14:textFill>
            </w:rPr>
            <w:instrText xml:space="preserve"> HYPERLINK \l _Toc20264 </w:instrText>
          </w:r>
          <w:r>
            <w:rPr>
              <w:rFonts w:hint="eastAsia" w:asciiTheme="minorEastAsia" w:hAnsiTheme="minorEastAsia" w:eastAsiaTheme="minorEastAsia" w:cstheme="minorEastAsia"/>
              <w:color w:val="000000" w:themeColor="text1"/>
              <w:szCs w:val="18"/>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18"/>
              <w:highlight w:val="none"/>
              <w:lang w:val="en-US" w:eastAsia="zh-CN"/>
              <w14:textFill>
                <w14:solidFill>
                  <w14:schemeClr w14:val="tx1"/>
                </w14:solidFill>
              </w14:textFill>
            </w:rPr>
            <w:t>七</w:t>
          </w:r>
          <w:r>
            <w:rPr>
              <w:rFonts w:hint="eastAsia" w:asciiTheme="minorEastAsia" w:hAnsiTheme="minorEastAsia" w:eastAsiaTheme="minorEastAsia" w:cstheme="minorEastAsia"/>
              <w:bCs/>
              <w:color w:val="000000" w:themeColor="text1"/>
              <w:szCs w:val="28"/>
              <w:highlight w:val="none"/>
              <w14:textFill>
                <w14:solidFill>
                  <w14:schemeClr w14:val="tx1"/>
                </w14:solidFill>
              </w14:textFill>
            </w:rPr>
            <w:t>、其他材料</w:t>
          </w:r>
          <w:r>
            <w:rPr>
              <w:rFonts w:hint="eastAsia" w:asciiTheme="minorEastAsia" w:hAnsiTheme="minorEastAsia" w:eastAsiaTheme="minorEastAsia" w:cstheme="minorEastAsia"/>
              <w:color w:val="000000" w:themeColor="text1"/>
              <w:highlight w:val="none"/>
              <w14:textFill>
                <w14:solidFill>
                  <w14:schemeClr w14:val="tx1"/>
                </w14:solidFill>
              </w14:textFill>
            </w:rPr>
            <w:tab/>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PAGEREF _Toc20264 \h </w:instrTex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40</w: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18"/>
              <w:highlight w:val="none"/>
              <w14:textFill>
                <w14:solidFill>
                  <w14:schemeClr w14:val="tx1"/>
                </w14:solidFill>
              </w14:textFill>
            </w:rPr>
            <w:fldChar w:fldCharType="end"/>
          </w:r>
        </w:p>
        <w:p w14:paraId="755A6AD6">
          <w:pP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Cs w:val="18"/>
              <w:highlight w:val="none"/>
              <w14:textFill>
                <w14:solidFill>
                  <w14:schemeClr w14:val="tx1"/>
                </w14:solidFill>
              </w14:textFill>
            </w:rPr>
            <w:fldChar w:fldCharType="end"/>
          </w:r>
        </w:p>
      </w:sdtContent>
    </w:sdt>
    <w:p w14:paraId="7160CDF3">
      <w:pP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p>
    <w:p w14:paraId="24339E91">
      <w:pP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p>
    <w:p w14:paraId="54A7197D">
      <w:pPr>
        <w:rPr>
          <w:rFonts w:hint="eastAsia" w:asciiTheme="minorEastAsia" w:hAnsiTheme="minorEastAsia" w:eastAsiaTheme="minorEastAsia" w:cstheme="minorEastAsia"/>
          <w:b/>
          <w:bCs/>
          <w:color w:val="000000" w:themeColor="text1"/>
          <w:sz w:val="32"/>
          <w:szCs w:val="32"/>
          <w:highlight w:val="none"/>
          <w:lang w:eastAsia="zh-CN"/>
          <w14:textFill>
            <w14:solidFill>
              <w14:schemeClr w14:val="tx1"/>
            </w14:solidFill>
          </w14:textFill>
        </w:rPr>
      </w:pPr>
      <w:bookmarkStart w:id="0" w:name="_bookmark0"/>
      <w:bookmarkEnd w:id="0"/>
      <w:bookmarkStart w:id="1" w:name="第二章_供应商须知"/>
      <w:bookmarkEnd w:id="1"/>
      <w:bookmarkStart w:id="2" w:name="第一章_竞争性磋商公告"/>
      <w:bookmarkEnd w:id="2"/>
      <w:bookmarkStart w:id="3" w:name="_bookmark1"/>
      <w:bookmarkEnd w:id="3"/>
      <w:bookmarkStart w:id="4" w:name="_Toc9800"/>
      <w:bookmarkStart w:id="5" w:name="_Toc25420"/>
      <w:r>
        <w:rPr>
          <w:rFonts w:hint="eastAsia" w:asciiTheme="minorEastAsia" w:hAnsiTheme="minorEastAsia" w:eastAsiaTheme="minorEastAsia" w:cstheme="minorEastAsia"/>
          <w:b/>
          <w:bCs/>
          <w:color w:val="000000" w:themeColor="text1"/>
          <w:sz w:val="32"/>
          <w:szCs w:val="32"/>
          <w:highlight w:val="none"/>
          <w:lang w:eastAsia="zh-CN"/>
          <w14:textFill>
            <w14:solidFill>
              <w14:schemeClr w14:val="tx1"/>
            </w14:solidFill>
          </w14:textFill>
        </w:rPr>
        <w:br w:type="page"/>
      </w:r>
    </w:p>
    <w:p w14:paraId="7236CC49">
      <w:pPr>
        <w:spacing w:line="360" w:lineRule="auto"/>
        <w:jc w:val="center"/>
        <w:outlineLvl w:val="0"/>
        <w:rPr>
          <w:rFonts w:hint="eastAsia" w:asciiTheme="minorEastAsia" w:hAnsiTheme="minorEastAsia" w:eastAsiaTheme="minorEastAsia" w:cstheme="minorEastAsia"/>
          <w:b/>
          <w:bCs/>
          <w:color w:val="000000" w:themeColor="text1"/>
          <w:w w:val="99"/>
          <w:sz w:val="32"/>
          <w:szCs w:val="32"/>
          <w:highlight w:val="none"/>
          <w:lang w:eastAsia="zh-CN"/>
          <w14:textFill>
            <w14:solidFill>
              <w14:schemeClr w14:val="tx1"/>
            </w14:solidFill>
          </w14:textFill>
        </w:rPr>
      </w:pPr>
      <w:bookmarkStart w:id="6" w:name="_Toc26472"/>
      <w:r>
        <w:rPr>
          <w:rFonts w:hint="eastAsia" w:asciiTheme="minorEastAsia" w:hAnsiTheme="minorEastAsia" w:eastAsiaTheme="minorEastAsia" w:cstheme="minorEastAsia"/>
          <w:b/>
          <w:bCs/>
          <w:color w:val="000000" w:themeColor="text1"/>
          <w:sz w:val="32"/>
          <w:szCs w:val="32"/>
          <w:highlight w:val="none"/>
          <w:lang w:eastAsia="zh-CN"/>
          <w14:textFill>
            <w14:solidFill>
              <w14:schemeClr w14:val="tx1"/>
            </w14:solidFill>
          </w14:textFill>
        </w:rPr>
        <w:t>第一章 竞争性磋商公告</w:t>
      </w:r>
      <w:bookmarkEnd w:id="4"/>
      <w:bookmarkEnd w:id="6"/>
    </w:p>
    <w:p w14:paraId="5159961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i w:val="0"/>
          <w:iCs w:val="0"/>
          <w:caps w:val="0"/>
          <w:color w:val="000000" w:themeColor="text1"/>
          <w:spacing w:val="0"/>
          <w:sz w:val="24"/>
          <w:szCs w:val="24"/>
          <w:highlight w:val="none"/>
          <w14:textFill>
            <w14:solidFill>
              <w14:schemeClr w14:val="tx1"/>
            </w14:solidFill>
          </w14:textFill>
        </w:rPr>
      </w:pPr>
      <w:r>
        <w:rPr>
          <w:rFonts w:hint="eastAsia" w:asciiTheme="minorEastAsia" w:hAnsiTheme="minorEastAsia" w:eastAsiaTheme="minorEastAsia" w:cstheme="minorEastAsia"/>
          <w:b/>
          <w:bCs/>
          <w:i w:val="0"/>
          <w:iCs w:val="0"/>
          <w:caps w:val="0"/>
          <w:color w:val="000000" w:themeColor="text1"/>
          <w:spacing w:val="0"/>
          <w:sz w:val="24"/>
          <w:szCs w:val="24"/>
          <w:highlight w:val="none"/>
          <w:lang w:val="en-US" w:eastAsia="zh-CN"/>
          <w14:textFill>
            <w14:solidFill>
              <w14:schemeClr w14:val="tx1"/>
            </w14:solidFill>
          </w14:textFill>
        </w:rPr>
        <w:t>1#学生宿舍项目工程勘察服务</w:t>
      </w:r>
      <w:r>
        <w:rPr>
          <w:rFonts w:hint="eastAsia" w:asciiTheme="minorEastAsia" w:hAnsiTheme="minorEastAsia" w:eastAsiaTheme="minorEastAsia" w:cstheme="minorEastAsia"/>
          <w:b/>
          <w:bCs/>
          <w:i w:val="0"/>
          <w:iCs w:val="0"/>
          <w:caps w:val="0"/>
          <w:color w:val="000000" w:themeColor="text1"/>
          <w:spacing w:val="0"/>
          <w:sz w:val="24"/>
          <w:szCs w:val="24"/>
          <w:highlight w:val="none"/>
          <w14:textFill>
            <w14:solidFill>
              <w14:schemeClr w14:val="tx1"/>
            </w14:solidFill>
          </w14:textFill>
        </w:rPr>
        <w:t>竞争性</w:t>
      </w:r>
      <w:r>
        <w:rPr>
          <w:rFonts w:hint="eastAsia" w:asciiTheme="minorEastAsia" w:hAnsiTheme="minorEastAsia" w:eastAsiaTheme="minorEastAsia" w:cstheme="minorEastAsia"/>
          <w:b/>
          <w:bCs/>
          <w:i w:val="0"/>
          <w:iCs w:val="0"/>
          <w:caps w:val="0"/>
          <w:color w:val="000000" w:themeColor="text1"/>
          <w:spacing w:val="0"/>
          <w:sz w:val="24"/>
          <w:szCs w:val="24"/>
          <w:highlight w:val="none"/>
          <w:lang w:val="en-US" w:eastAsia="zh-CN"/>
          <w14:textFill>
            <w14:solidFill>
              <w14:schemeClr w14:val="tx1"/>
            </w14:solidFill>
          </w14:textFill>
        </w:rPr>
        <w:t>磋商</w:t>
      </w:r>
      <w:r>
        <w:rPr>
          <w:rFonts w:hint="eastAsia" w:asciiTheme="minorEastAsia" w:hAnsiTheme="minorEastAsia" w:eastAsiaTheme="minorEastAsia" w:cstheme="minorEastAsia"/>
          <w:b/>
          <w:bCs/>
          <w:i w:val="0"/>
          <w:iCs w:val="0"/>
          <w:caps w:val="0"/>
          <w:color w:val="000000" w:themeColor="text1"/>
          <w:spacing w:val="0"/>
          <w:sz w:val="24"/>
          <w:szCs w:val="24"/>
          <w:highlight w:val="none"/>
          <w14:textFill>
            <w14:solidFill>
              <w14:schemeClr w14:val="tx1"/>
            </w14:solidFill>
          </w14:textFill>
        </w:rPr>
        <w:t>公告</w:t>
      </w:r>
    </w:p>
    <w:p w14:paraId="2D056BCC">
      <w:pPr>
        <w:spacing w:line="360" w:lineRule="auto"/>
        <w:ind w:firstLine="420" w:firstLineChars="200"/>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1#学生宿舍项目工程勘察服务项目的潜在供应商应根据竞争性磋商公告要求获取磋商文件，并在</w:t>
      </w: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2024年12月16日9时30 分（北京时间）</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前递交响应文件。</w:t>
      </w:r>
    </w:p>
    <w:p w14:paraId="7F9833E4">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一、项目基本情况</w:t>
      </w:r>
    </w:p>
    <w:p w14:paraId="2803FC4E">
      <w:pPr>
        <w:spacing w:line="360" w:lineRule="auto"/>
        <w:ind w:firstLine="420" w:firstLineChars="200"/>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、项目名称:</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1#学生宿舍项目工程勘察服务项目</w:t>
      </w:r>
    </w:p>
    <w:p w14:paraId="40108F03">
      <w:pPr>
        <w:spacing w:line="360" w:lineRule="auto"/>
        <w:ind w:firstLine="420" w:firstLineChars="200"/>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2、采购方式：竞争性磋商</w:t>
      </w:r>
    </w:p>
    <w:p w14:paraId="48EBF4F0">
      <w:p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eastAsia="zh-CN"/>
        </w:rPr>
        <w:t>、项目预算金额:</w:t>
      </w:r>
      <w:r>
        <w:rPr>
          <w:rFonts w:hint="eastAsia" w:asciiTheme="minorEastAsia" w:hAnsiTheme="minorEastAsia" w:eastAsiaTheme="minorEastAsia" w:cstheme="minorEastAsia"/>
          <w:color w:val="auto"/>
          <w:sz w:val="21"/>
          <w:szCs w:val="21"/>
          <w:highlight w:val="none"/>
          <w:lang w:val="en-US" w:eastAsia="zh-CN"/>
        </w:rPr>
        <w:t>33600.00元；最高限价：33600.00元</w:t>
      </w:r>
    </w:p>
    <w:p w14:paraId="0C2CAB15">
      <w:pPr>
        <w:spacing w:line="360" w:lineRule="auto"/>
        <w:ind w:firstLine="420" w:firstLineChars="200"/>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4、采购需求</w:t>
      </w:r>
    </w:p>
    <w:p w14:paraId="24CDB1C9">
      <w:pPr>
        <w:spacing w:line="360" w:lineRule="auto"/>
        <w:ind w:firstLine="630" w:firstLineChars="300"/>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4.1磋商范围：1#学生宿舍项目工程勘察服务项目（详见磋商文件）；</w:t>
      </w:r>
    </w:p>
    <w:p w14:paraId="709A494E">
      <w:pPr>
        <w:spacing w:line="360" w:lineRule="auto"/>
        <w:ind w:firstLine="630" w:firstLineChars="300"/>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4.2</w:t>
      </w:r>
      <w:r>
        <w:rPr>
          <w:rFonts w:hint="eastAsia" w:ascii="宋体" w:hAnsi="宋体" w:cs="宋体"/>
          <w:color w:val="auto"/>
          <w:kern w:val="0"/>
          <w:sz w:val="21"/>
          <w:szCs w:val="21"/>
          <w:highlight w:val="none"/>
          <w:lang w:val="en-US" w:eastAsia="zh-CN"/>
        </w:rPr>
        <w:t>项目完成时间要求</w:t>
      </w:r>
      <w:r>
        <w:rPr>
          <w:rFonts w:hint="eastAsia" w:ascii="宋体" w:hAnsi="宋体" w:eastAsia="宋体" w:cs="宋体"/>
          <w:color w:val="auto"/>
          <w:kern w:val="0"/>
          <w:sz w:val="21"/>
          <w:szCs w:val="21"/>
          <w:highlight w:val="none"/>
        </w:rPr>
        <w:t>：</w:t>
      </w:r>
      <w:r>
        <w:rPr>
          <w:rFonts w:hint="eastAsia" w:ascii="宋体" w:hAnsi="宋体" w:cs="宋体"/>
          <w:color w:val="auto"/>
          <w:kern w:val="0"/>
          <w:sz w:val="21"/>
          <w:szCs w:val="21"/>
          <w:highlight w:val="none"/>
          <w:lang w:val="en-US" w:eastAsia="zh-CN"/>
        </w:rPr>
        <w:t>12天（具体勘察时间另行通知）</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p>
    <w:p w14:paraId="24360054">
      <w:pPr>
        <w:spacing w:line="360" w:lineRule="auto"/>
        <w:ind w:firstLine="630" w:firstLineChars="300"/>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4.3质量标准：合格；</w:t>
      </w:r>
    </w:p>
    <w:p w14:paraId="3B49F5B8">
      <w:pPr>
        <w:spacing w:line="360" w:lineRule="auto"/>
        <w:ind w:firstLine="630" w:firstLineChars="300"/>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4.4标包划分：1个标包；</w:t>
      </w:r>
    </w:p>
    <w:p w14:paraId="2DBBFD31">
      <w:pPr>
        <w:spacing w:line="360" w:lineRule="auto"/>
        <w:ind w:firstLine="420" w:firstLineChars="200"/>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5、本项目是否接受联合体投标：否</w:t>
      </w:r>
    </w:p>
    <w:p w14:paraId="1CCB75CD">
      <w:pPr>
        <w:spacing w:line="360" w:lineRule="auto"/>
        <w:ind w:firstLine="422" w:firstLineChars="200"/>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二</w:t>
      </w:r>
      <w:r>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供应商</w:t>
      </w:r>
      <w:r>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t>资格条件</w:t>
      </w:r>
    </w:p>
    <w:p w14:paraId="4CEADC37">
      <w:pPr>
        <w:spacing w:line="360" w:lineRule="auto"/>
        <w:ind w:firstLine="420" w:firstLineChars="200"/>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 xml:space="preserve">1、满足《中华人民共和国政府采购法》第二十二条； </w:t>
      </w:r>
    </w:p>
    <w:p w14:paraId="7C9F0B6F">
      <w:pPr>
        <w:spacing w:line="360" w:lineRule="auto"/>
        <w:ind w:firstLine="420" w:firstLineChars="200"/>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2、国内注册（指按国家有关规定要求注册的），达到本次采购服务要求的供应商。</w:t>
      </w:r>
    </w:p>
    <w:p w14:paraId="3C64789B">
      <w:pPr>
        <w:keepNext w:val="0"/>
        <w:keepLines w:val="0"/>
        <w:pageBreakBefore w:val="0"/>
        <w:kinsoku/>
        <w:wordWrap/>
        <w:overflowPunct/>
        <w:topLinePunct w:val="0"/>
        <w:autoSpaceDE w:val="0"/>
        <w:autoSpaceDN w:val="0"/>
        <w:bidi w:val="0"/>
        <w:adjustRightInd w:val="0"/>
        <w:snapToGrid/>
        <w:spacing w:line="380" w:lineRule="exact"/>
        <w:ind w:firstLine="420" w:firstLineChars="20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3、竞标人须具备</w:t>
      </w:r>
      <w:r>
        <w:rPr>
          <w:rFonts w:hint="eastAsia" w:ascii="宋体" w:hAnsi="宋体" w:cs="宋体"/>
          <w:bCs/>
          <w:color w:val="auto"/>
          <w:szCs w:val="21"/>
        </w:rPr>
        <w:t>本次</w:t>
      </w:r>
      <w:r>
        <w:rPr>
          <w:rFonts w:hint="eastAsia" w:ascii="宋体" w:hAnsi="宋体" w:eastAsia="宋体" w:cs="宋体"/>
          <w:bCs/>
          <w:color w:val="auto"/>
          <w:szCs w:val="21"/>
          <w:highlight w:val="none"/>
          <w:lang w:val="en-US" w:eastAsia="zh-CN"/>
        </w:rPr>
        <w:t>磋商</w:t>
      </w:r>
      <w:r>
        <w:rPr>
          <w:rFonts w:hint="eastAsia" w:ascii="宋体" w:hAnsi="宋体" w:cs="宋体"/>
          <w:bCs/>
          <w:color w:val="auto"/>
          <w:szCs w:val="21"/>
        </w:rPr>
        <w:t>要求</w:t>
      </w:r>
      <w:r>
        <w:rPr>
          <w:rFonts w:hint="eastAsia" w:ascii="宋体" w:hAnsi="宋体" w:eastAsia="宋体" w:cs="宋体"/>
          <w:color w:val="auto"/>
          <w:kern w:val="0"/>
          <w:sz w:val="21"/>
          <w:szCs w:val="21"/>
          <w:highlight w:val="none"/>
          <w:lang w:val="en-US" w:eastAsia="zh-CN"/>
        </w:rPr>
        <w:t>竞标人</w:t>
      </w:r>
      <w:r>
        <w:rPr>
          <w:rFonts w:hint="eastAsia" w:ascii="宋体" w:hAnsi="宋体" w:cs="宋体"/>
          <w:bCs/>
          <w:color w:val="auto"/>
          <w:szCs w:val="21"/>
        </w:rPr>
        <w:t>须</w:t>
      </w:r>
      <w:r>
        <w:rPr>
          <w:rFonts w:hint="eastAsia" w:ascii="宋体" w:hAnsi="宋体" w:cs="宋体"/>
          <w:bCs/>
          <w:color w:val="auto"/>
          <w:szCs w:val="21"/>
          <w:u w:val="single"/>
        </w:rPr>
        <w:t>具备工程勘察综合类</w:t>
      </w:r>
      <w:r>
        <w:rPr>
          <w:rFonts w:hint="eastAsia" w:ascii="宋体" w:hAnsi="宋体" w:cs="宋体"/>
          <w:bCs/>
          <w:color w:val="auto"/>
          <w:szCs w:val="21"/>
          <w:u w:val="single"/>
          <w:lang w:val="en-US" w:eastAsia="zh-CN"/>
        </w:rPr>
        <w:t>甲</w:t>
      </w:r>
      <w:r>
        <w:rPr>
          <w:rFonts w:hint="eastAsia" w:ascii="宋体" w:hAnsi="宋体" w:cs="宋体"/>
          <w:bCs/>
          <w:color w:val="auto"/>
          <w:szCs w:val="21"/>
          <w:u w:val="single"/>
        </w:rPr>
        <w:t>级或工程勘察专业类岩土工程勘察</w:t>
      </w:r>
      <w:r>
        <w:rPr>
          <w:rFonts w:hint="eastAsia" w:ascii="宋体" w:hAnsi="宋体" w:cs="宋体"/>
          <w:bCs/>
          <w:color w:val="auto"/>
          <w:szCs w:val="21"/>
          <w:u w:val="single"/>
          <w:lang w:val="en-US" w:eastAsia="zh-CN"/>
        </w:rPr>
        <w:t>乙</w:t>
      </w:r>
      <w:r>
        <w:rPr>
          <w:rFonts w:hint="eastAsia" w:ascii="宋体" w:hAnsi="宋体" w:cs="宋体"/>
          <w:bCs/>
          <w:color w:val="auto"/>
          <w:szCs w:val="21"/>
          <w:u w:val="single"/>
        </w:rPr>
        <w:t>级及以上资质（含</w:t>
      </w:r>
      <w:r>
        <w:rPr>
          <w:rFonts w:hint="eastAsia" w:ascii="宋体" w:hAnsi="宋体" w:cs="宋体"/>
          <w:bCs/>
          <w:color w:val="auto"/>
          <w:szCs w:val="21"/>
          <w:u w:val="single"/>
          <w:lang w:val="en-US" w:eastAsia="zh-CN"/>
        </w:rPr>
        <w:t>乙</w:t>
      </w:r>
      <w:r>
        <w:rPr>
          <w:rFonts w:hint="eastAsia" w:ascii="宋体" w:hAnsi="宋体" w:cs="宋体"/>
          <w:bCs/>
          <w:color w:val="auto"/>
          <w:szCs w:val="21"/>
          <w:u w:val="single"/>
        </w:rPr>
        <w:t>级资质）</w:t>
      </w:r>
      <w:r>
        <w:rPr>
          <w:rFonts w:hint="eastAsia" w:ascii="宋体" w:hAnsi="宋体" w:eastAsia="宋体" w:cs="宋体"/>
          <w:color w:val="auto"/>
          <w:kern w:val="0"/>
          <w:sz w:val="21"/>
          <w:szCs w:val="21"/>
          <w:highlight w:val="none"/>
          <w:lang w:val="en-US" w:eastAsia="zh-CN"/>
        </w:rPr>
        <w:t>，并在人员、设备、资金等方面具有相应的项目实施能力。</w:t>
      </w:r>
    </w:p>
    <w:p w14:paraId="2B901484">
      <w:pPr>
        <w:spacing w:line="360" w:lineRule="auto"/>
        <w:ind w:firstLine="420" w:firstLineChars="200"/>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auto"/>
          <w:kern w:val="0"/>
          <w:sz w:val="21"/>
          <w:szCs w:val="21"/>
          <w:highlight w:val="none"/>
          <w:lang w:val="en-US" w:eastAsia="zh-CN"/>
        </w:rPr>
        <w:t>4、项目负责人的资格要求：</w:t>
      </w:r>
      <w:r>
        <w:rPr>
          <w:rFonts w:hint="eastAsia" w:ascii="宋体" w:hAnsi="宋体" w:cs="宋体"/>
          <w:szCs w:val="21"/>
        </w:rPr>
        <w:t>必须为</w:t>
      </w:r>
      <w:r>
        <w:rPr>
          <w:rFonts w:hint="eastAsia" w:ascii="宋体" w:hAnsi="宋体" w:eastAsia="宋体" w:cs="宋体"/>
          <w:color w:val="auto"/>
          <w:kern w:val="0"/>
          <w:sz w:val="21"/>
          <w:szCs w:val="21"/>
          <w:highlight w:val="none"/>
          <w:lang w:val="en-US" w:eastAsia="zh-CN"/>
        </w:rPr>
        <w:t>竞标人</w:t>
      </w:r>
      <w:r>
        <w:rPr>
          <w:rFonts w:hint="eastAsia" w:ascii="宋体" w:hAnsi="宋体" w:cs="宋体"/>
          <w:szCs w:val="21"/>
        </w:rPr>
        <w:t>本单位在职人员，并具有注册岩土工程师证</w:t>
      </w:r>
    </w:p>
    <w:p w14:paraId="06C1E87A">
      <w:pPr>
        <w:spacing w:line="360" w:lineRule="auto"/>
        <w:ind w:firstLine="420" w:firstLineChars="200"/>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参加采购活动前三年内，在经营活动中没有重大违法记录和不良信用记录，被列入失信被执行人、重大税收违法案件当事人名单、政府采购严重违法失信行为记录名单及其他不符合《中华人民共和国政府采购法》第二十二条规定条件的供应商，将被拒绝其参与本次采购活动；</w:t>
      </w:r>
    </w:p>
    <w:p w14:paraId="799E89DE">
      <w:pPr>
        <w:spacing w:line="360" w:lineRule="auto"/>
        <w:ind w:firstLine="420" w:firstLineChars="200"/>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6、单位负责人为同一人或者存在控股、管理关系的不同单位，不得同时参加本项目的投标（提供供应商的“全国企业信用信息公示系统”中公示的公司信息、股东或投资人信息）。</w:t>
      </w:r>
    </w:p>
    <w:p w14:paraId="0D44BF3B">
      <w:pPr>
        <w:spacing w:line="360" w:lineRule="auto"/>
        <w:ind w:firstLine="420" w:firstLineChars="200"/>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本项目不接受联合体</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竞</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标。</w:t>
      </w:r>
    </w:p>
    <w:p w14:paraId="50B21C29">
      <w:pPr>
        <w:keepNext w:val="0"/>
        <w:keepLines w:val="0"/>
        <w:pageBreakBefore w:val="0"/>
        <w:kinsoku/>
        <w:wordWrap/>
        <w:overflowPunct/>
        <w:topLinePunct w:val="0"/>
        <w:autoSpaceDE w:val="0"/>
        <w:autoSpaceDN w:val="0"/>
        <w:bidi w:val="0"/>
        <w:adjustRightInd w:val="0"/>
        <w:snapToGrid/>
        <w:spacing w:line="380" w:lineRule="exact"/>
        <w:ind w:firstLine="422" w:firstLineChars="200"/>
        <w:jc w:val="left"/>
        <w:rPr>
          <w:rFonts w:hint="default" w:ascii="宋体" w:hAnsi="宋体" w:eastAsia="宋体" w:cs="宋体"/>
          <w:b/>
          <w:color w:val="auto"/>
          <w:kern w:val="0"/>
          <w:sz w:val="21"/>
          <w:szCs w:val="21"/>
          <w:highlight w:val="none"/>
          <w:lang w:val="en-US" w:eastAsia="zh-CN"/>
        </w:rPr>
      </w:pP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三</w:t>
      </w:r>
      <w:r>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t>、</w:t>
      </w:r>
      <w:r>
        <w:rPr>
          <w:rFonts w:hint="eastAsia" w:ascii="宋体" w:hAnsi="宋体" w:cs="宋体"/>
          <w:b/>
          <w:color w:val="auto"/>
          <w:kern w:val="0"/>
          <w:sz w:val="21"/>
          <w:szCs w:val="21"/>
          <w:highlight w:val="none"/>
          <w:lang w:val="en-US" w:eastAsia="zh-CN"/>
        </w:rPr>
        <w:t>竞标报名</w:t>
      </w:r>
    </w:p>
    <w:p w14:paraId="21D6C2BC">
      <w:pPr>
        <w:keepNext w:val="0"/>
        <w:keepLines w:val="0"/>
        <w:pageBreakBefore w:val="0"/>
        <w:kinsoku/>
        <w:wordWrap/>
        <w:overflowPunct/>
        <w:topLinePunct w:val="0"/>
        <w:autoSpaceDE w:val="0"/>
        <w:autoSpaceDN w:val="0"/>
        <w:bidi w:val="0"/>
        <w:adjustRightInd w:val="0"/>
        <w:snapToGrid/>
        <w:spacing w:line="380" w:lineRule="exact"/>
        <w:ind w:firstLine="420" w:firstLineChars="20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1.报名时间：2024年12月4日至2024年12月15日，每日上午8:30-11:50，下午14:30-17:30（节假日、双休日除外）。</w:t>
      </w:r>
    </w:p>
    <w:p w14:paraId="27266278">
      <w:pPr>
        <w:keepNext w:val="0"/>
        <w:keepLines w:val="0"/>
        <w:pageBreakBefore w:val="0"/>
        <w:kinsoku/>
        <w:wordWrap/>
        <w:overflowPunct/>
        <w:topLinePunct w:val="0"/>
        <w:autoSpaceDE w:val="0"/>
        <w:autoSpaceDN w:val="0"/>
        <w:bidi w:val="0"/>
        <w:adjustRightInd w:val="0"/>
        <w:snapToGrid/>
        <w:spacing w:line="380" w:lineRule="exact"/>
        <w:ind w:firstLine="420" w:firstLineChars="20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2.报名地点：广西农牧工程学校教育教学服务中心。</w:t>
      </w:r>
    </w:p>
    <w:p w14:paraId="32ADCD52">
      <w:pPr>
        <w:keepNext w:val="0"/>
        <w:keepLines w:val="0"/>
        <w:pageBreakBefore w:val="0"/>
        <w:kinsoku/>
        <w:wordWrap/>
        <w:overflowPunct/>
        <w:topLinePunct w:val="0"/>
        <w:autoSpaceDE w:val="0"/>
        <w:autoSpaceDN w:val="0"/>
        <w:bidi w:val="0"/>
        <w:adjustRightInd w:val="0"/>
        <w:snapToGrid/>
        <w:spacing w:line="380" w:lineRule="exact"/>
        <w:ind w:firstLine="420" w:firstLineChars="200"/>
        <w:jc w:val="left"/>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lang w:val="en-US" w:eastAsia="zh-CN"/>
        </w:rPr>
        <w:t>.报名须知：报名时请携带营业执照复印件、法人代表授权委托书、被委托人身份证、投标文件（具体格式见附件）。</w:t>
      </w:r>
    </w:p>
    <w:p w14:paraId="2BB0FE9E">
      <w:pPr>
        <w:spacing w:line="360" w:lineRule="auto"/>
        <w:ind w:firstLine="422" w:firstLineChars="200"/>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四</w:t>
      </w:r>
      <w:r>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响应</w:t>
      </w:r>
      <w:r>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t>文件提交的截止时间及地点</w:t>
      </w:r>
    </w:p>
    <w:p w14:paraId="3F5E5DAE">
      <w:pPr>
        <w:spacing w:line="360" w:lineRule="auto"/>
        <w:ind w:firstLine="42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首次响应文件开始接收时间：</w:t>
      </w:r>
      <w:r>
        <w:rPr>
          <w:rFonts w:hint="eastAsia" w:asciiTheme="minorEastAsia" w:hAnsiTheme="minorEastAsia" w:eastAsiaTheme="minorEastAsia" w:cstheme="minorEastAsia"/>
          <w:b/>
          <w:bCs/>
          <w:color w:val="auto"/>
          <w:sz w:val="21"/>
          <w:szCs w:val="21"/>
          <w:highlight w:val="none"/>
          <w:lang w:eastAsia="zh-CN"/>
        </w:rPr>
        <w:t>202</w:t>
      </w:r>
      <w:r>
        <w:rPr>
          <w:rFonts w:hint="eastAsia" w:asciiTheme="minorEastAsia" w:hAnsiTheme="minorEastAsia" w:eastAsiaTheme="minorEastAsia" w:cstheme="minorEastAsia"/>
          <w:b/>
          <w:bCs/>
          <w:color w:val="auto"/>
          <w:sz w:val="21"/>
          <w:szCs w:val="21"/>
          <w:highlight w:val="none"/>
          <w:lang w:val="en-US" w:eastAsia="zh-CN"/>
        </w:rPr>
        <w:t xml:space="preserve">4 </w:t>
      </w:r>
      <w:r>
        <w:rPr>
          <w:rFonts w:hint="eastAsia" w:asciiTheme="minorEastAsia" w:hAnsiTheme="minorEastAsia" w:eastAsiaTheme="minorEastAsia" w:cstheme="minorEastAsia"/>
          <w:b/>
          <w:bCs/>
          <w:color w:val="auto"/>
          <w:sz w:val="21"/>
          <w:szCs w:val="21"/>
          <w:highlight w:val="none"/>
          <w:lang w:eastAsia="zh-CN"/>
        </w:rPr>
        <w:t>年</w:t>
      </w:r>
      <w:r>
        <w:rPr>
          <w:rFonts w:hint="eastAsia" w:asciiTheme="minorEastAsia" w:hAnsiTheme="minorEastAsia" w:eastAsiaTheme="minorEastAsia" w:cstheme="minorEastAsia"/>
          <w:b/>
          <w:bCs/>
          <w:color w:val="auto"/>
          <w:sz w:val="21"/>
          <w:szCs w:val="21"/>
          <w:highlight w:val="none"/>
          <w:lang w:val="en-US" w:eastAsia="zh-CN"/>
        </w:rPr>
        <w:t>12</w:t>
      </w:r>
      <w:r>
        <w:rPr>
          <w:rFonts w:hint="eastAsia" w:asciiTheme="minorEastAsia" w:hAnsiTheme="minorEastAsia" w:eastAsiaTheme="minorEastAsia" w:cstheme="minorEastAsia"/>
          <w:b/>
          <w:bCs/>
          <w:color w:val="auto"/>
          <w:sz w:val="21"/>
          <w:szCs w:val="21"/>
          <w:highlight w:val="none"/>
          <w:lang w:eastAsia="zh-CN"/>
        </w:rPr>
        <w:t>月</w:t>
      </w:r>
      <w:r>
        <w:rPr>
          <w:rFonts w:hint="eastAsia" w:asciiTheme="minorEastAsia" w:hAnsiTheme="minorEastAsia" w:eastAsiaTheme="minorEastAsia" w:cstheme="minorEastAsia"/>
          <w:b/>
          <w:bCs/>
          <w:color w:val="auto"/>
          <w:sz w:val="21"/>
          <w:szCs w:val="21"/>
          <w:highlight w:val="none"/>
          <w:lang w:val="en-US" w:eastAsia="zh-CN"/>
        </w:rPr>
        <w:t>16日09</w:t>
      </w:r>
      <w:r>
        <w:rPr>
          <w:rFonts w:hint="eastAsia" w:asciiTheme="minorEastAsia" w:hAnsiTheme="minorEastAsia" w:eastAsiaTheme="minorEastAsia" w:cstheme="minorEastAsia"/>
          <w:b/>
          <w:bCs/>
          <w:color w:val="auto"/>
          <w:sz w:val="21"/>
          <w:szCs w:val="21"/>
          <w:highlight w:val="none"/>
          <w:lang w:eastAsia="zh-CN"/>
        </w:rPr>
        <w:t>时</w:t>
      </w:r>
      <w:r>
        <w:rPr>
          <w:rFonts w:hint="eastAsia" w:asciiTheme="minorEastAsia" w:hAnsiTheme="minorEastAsia" w:eastAsiaTheme="minorEastAsia" w:cstheme="minorEastAsia"/>
          <w:b/>
          <w:bCs/>
          <w:color w:val="auto"/>
          <w:sz w:val="21"/>
          <w:szCs w:val="21"/>
          <w:highlight w:val="none"/>
          <w:lang w:val="en-US" w:eastAsia="zh-CN"/>
        </w:rPr>
        <w:t>00</w:t>
      </w:r>
      <w:r>
        <w:rPr>
          <w:rFonts w:hint="eastAsia" w:asciiTheme="minorEastAsia" w:hAnsiTheme="minorEastAsia" w:eastAsiaTheme="minorEastAsia" w:cstheme="minorEastAsia"/>
          <w:b/>
          <w:bCs/>
          <w:color w:val="auto"/>
          <w:sz w:val="21"/>
          <w:szCs w:val="21"/>
          <w:highlight w:val="none"/>
          <w:lang w:eastAsia="zh-CN"/>
        </w:rPr>
        <w:t>分(北京时间）</w:t>
      </w:r>
    </w:p>
    <w:p w14:paraId="12B66466">
      <w:pPr>
        <w:spacing w:line="360" w:lineRule="auto"/>
        <w:ind w:firstLine="42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首次响应文件提交截止时间：</w:t>
      </w:r>
      <w:r>
        <w:rPr>
          <w:rFonts w:hint="eastAsia" w:asciiTheme="minorEastAsia" w:hAnsiTheme="minorEastAsia" w:eastAsiaTheme="minorEastAsia" w:cstheme="minorEastAsia"/>
          <w:b/>
          <w:bCs/>
          <w:color w:val="auto"/>
          <w:sz w:val="21"/>
          <w:szCs w:val="21"/>
          <w:highlight w:val="none"/>
          <w:lang w:eastAsia="zh-CN"/>
        </w:rPr>
        <w:t>202</w:t>
      </w:r>
      <w:r>
        <w:rPr>
          <w:rFonts w:hint="eastAsia" w:asciiTheme="minorEastAsia" w:hAnsiTheme="minorEastAsia" w:eastAsiaTheme="minorEastAsia" w:cstheme="minorEastAsia"/>
          <w:b/>
          <w:bCs/>
          <w:color w:val="auto"/>
          <w:sz w:val="21"/>
          <w:szCs w:val="21"/>
          <w:highlight w:val="none"/>
          <w:lang w:val="en-US" w:eastAsia="zh-CN"/>
        </w:rPr>
        <w:t xml:space="preserve">4 </w:t>
      </w:r>
      <w:r>
        <w:rPr>
          <w:rFonts w:hint="eastAsia" w:asciiTheme="minorEastAsia" w:hAnsiTheme="minorEastAsia" w:eastAsiaTheme="minorEastAsia" w:cstheme="minorEastAsia"/>
          <w:b/>
          <w:bCs/>
          <w:color w:val="auto"/>
          <w:sz w:val="21"/>
          <w:szCs w:val="21"/>
          <w:highlight w:val="none"/>
          <w:lang w:eastAsia="zh-CN"/>
        </w:rPr>
        <w:t>年</w:t>
      </w:r>
      <w:r>
        <w:rPr>
          <w:rFonts w:hint="eastAsia" w:asciiTheme="minorEastAsia" w:hAnsiTheme="minorEastAsia" w:eastAsiaTheme="minorEastAsia" w:cstheme="minorEastAsia"/>
          <w:b/>
          <w:bCs/>
          <w:color w:val="auto"/>
          <w:sz w:val="21"/>
          <w:szCs w:val="21"/>
          <w:highlight w:val="none"/>
          <w:lang w:val="en-US" w:eastAsia="zh-CN"/>
        </w:rPr>
        <w:t>12</w:t>
      </w:r>
      <w:r>
        <w:rPr>
          <w:rFonts w:hint="eastAsia" w:asciiTheme="minorEastAsia" w:hAnsiTheme="minorEastAsia" w:eastAsiaTheme="minorEastAsia" w:cstheme="minorEastAsia"/>
          <w:b/>
          <w:bCs/>
          <w:color w:val="auto"/>
          <w:sz w:val="21"/>
          <w:szCs w:val="21"/>
          <w:highlight w:val="none"/>
          <w:lang w:eastAsia="zh-CN"/>
        </w:rPr>
        <w:t>月</w:t>
      </w:r>
      <w:r>
        <w:rPr>
          <w:rFonts w:hint="eastAsia" w:asciiTheme="minorEastAsia" w:hAnsiTheme="minorEastAsia" w:eastAsiaTheme="minorEastAsia" w:cstheme="minorEastAsia"/>
          <w:b/>
          <w:bCs/>
          <w:color w:val="auto"/>
          <w:sz w:val="21"/>
          <w:szCs w:val="21"/>
          <w:highlight w:val="none"/>
          <w:lang w:val="en-US" w:eastAsia="zh-CN"/>
        </w:rPr>
        <w:t>16日09</w:t>
      </w:r>
      <w:r>
        <w:rPr>
          <w:rFonts w:hint="eastAsia" w:asciiTheme="minorEastAsia" w:hAnsiTheme="minorEastAsia" w:eastAsiaTheme="minorEastAsia" w:cstheme="minorEastAsia"/>
          <w:b/>
          <w:bCs/>
          <w:color w:val="auto"/>
          <w:sz w:val="21"/>
          <w:szCs w:val="21"/>
          <w:highlight w:val="none"/>
          <w:lang w:eastAsia="zh-CN"/>
        </w:rPr>
        <w:t>时</w:t>
      </w:r>
      <w:r>
        <w:rPr>
          <w:rFonts w:hint="eastAsia" w:asciiTheme="minorEastAsia" w:hAnsiTheme="minorEastAsia" w:eastAsiaTheme="minorEastAsia" w:cstheme="minorEastAsia"/>
          <w:b/>
          <w:bCs/>
          <w:color w:val="auto"/>
          <w:sz w:val="21"/>
          <w:szCs w:val="21"/>
          <w:highlight w:val="none"/>
          <w:lang w:val="en-US" w:eastAsia="zh-CN"/>
        </w:rPr>
        <w:t>30</w:t>
      </w:r>
      <w:r>
        <w:rPr>
          <w:rFonts w:hint="eastAsia" w:asciiTheme="minorEastAsia" w:hAnsiTheme="minorEastAsia" w:eastAsiaTheme="minorEastAsia" w:cstheme="minorEastAsia"/>
          <w:b/>
          <w:bCs/>
          <w:color w:val="auto"/>
          <w:sz w:val="21"/>
          <w:szCs w:val="21"/>
          <w:highlight w:val="none"/>
          <w:lang w:eastAsia="zh-CN"/>
        </w:rPr>
        <w:t>分(北京时间）</w:t>
      </w:r>
    </w:p>
    <w:p w14:paraId="6586CFEF">
      <w:p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eastAsia="zh-CN"/>
        </w:rPr>
        <w:t>地点:</w:t>
      </w:r>
      <w:r>
        <w:rPr>
          <w:rFonts w:hint="eastAsia" w:ascii="宋体" w:hAnsi="宋体" w:eastAsia="宋体" w:cs="宋体"/>
          <w:color w:val="auto"/>
          <w:kern w:val="0"/>
          <w:sz w:val="21"/>
          <w:szCs w:val="21"/>
          <w:highlight w:val="none"/>
          <w:lang w:val="en-US" w:eastAsia="zh-CN"/>
        </w:rPr>
        <w:t>广西农牧工程学校综合办公楼教育教学服务中心</w:t>
      </w:r>
    </w:p>
    <w:p w14:paraId="3171430A">
      <w:pPr>
        <w:snapToGrid w:val="0"/>
        <w:spacing w:line="360" w:lineRule="auto"/>
        <w:ind w:firstLine="440" w:firstLineChars="200"/>
        <w:contextualSpacing/>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逾期送达或未密封将予以拒收。</w:t>
      </w:r>
    </w:p>
    <w:p w14:paraId="772DA85E">
      <w:pPr>
        <w:snapToGrid w:val="0"/>
        <w:spacing w:line="360" w:lineRule="auto"/>
        <w:ind w:firstLine="442" w:firstLineChars="200"/>
        <w:contextualSpacing/>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供应商的法定代表人凭法定代表人身份证明书和身份证或委托代理人凭法人授权委托书原件和身份证，经验证后递交响应文件。</w:t>
      </w:r>
    </w:p>
    <w:p w14:paraId="2CAF9A57">
      <w:pPr>
        <w:spacing w:line="360" w:lineRule="auto"/>
        <w:ind w:firstLine="42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首次响应文件开启时间：</w:t>
      </w:r>
      <w:r>
        <w:rPr>
          <w:rFonts w:hint="eastAsia" w:asciiTheme="minorEastAsia" w:hAnsiTheme="minorEastAsia" w:eastAsiaTheme="minorEastAsia" w:cstheme="minorEastAsia"/>
          <w:b/>
          <w:bCs/>
          <w:color w:val="auto"/>
          <w:sz w:val="21"/>
          <w:szCs w:val="21"/>
          <w:highlight w:val="none"/>
          <w:lang w:eastAsia="zh-CN"/>
        </w:rPr>
        <w:t>202</w:t>
      </w:r>
      <w:r>
        <w:rPr>
          <w:rFonts w:hint="eastAsia" w:asciiTheme="minorEastAsia" w:hAnsiTheme="minorEastAsia" w:eastAsiaTheme="minorEastAsia" w:cstheme="minorEastAsia"/>
          <w:b/>
          <w:bCs/>
          <w:color w:val="auto"/>
          <w:sz w:val="21"/>
          <w:szCs w:val="21"/>
          <w:highlight w:val="none"/>
          <w:lang w:val="en-US" w:eastAsia="zh-CN"/>
        </w:rPr>
        <w:t>4</w:t>
      </w:r>
      <w:r>
        <w:rPr>
          <w:rFonts w:hint="eastAsia" w:asciiTheme="minorEastAsia" w:hAnsiTheme="minorEastAsia" w:eastAsiaTheme="minorEastAsia" w:cstheme="minorEastAsia"/>
          <w:b/>
          <w:bCs/>
          <w:color w:val="auto"/>
          <w:sz w:val="21"/>
          <w:szCs w:val="21"/>
          <w:highlight w:val="none"/>
          <w:lang w:eastAsia="zh-CN"/>
        </w:rPr>
        <w:t>年</w:t>
      </w:r>
      <w:r>
        <w:rPr>
          <w:rFonts w:hint="eastAsia" w:asciiTheme="minorEastAsia" w:hAnsiTheme="minorEastAsia" w:eastAsiaTheme="minorEastAsia" w:cstheme="minorEastAsia"/>
          <w:b/>
          <w:bCs/>
          <w:color w:val="auto"/>
          <w:sz w:val="21"/>
          <w:szCs w:val="21"/>
          <w:highlight w:val="none"/>
          <w:lang w:val="en-US" w:eastAsia="zh-CN"/>
        </w:rPr>
        <w:t>12</w:t>
      </w:r>
      <w:r>
        <w:rPr>
          <w:rFonts w:hint="eastAsia" w:asciiTheme="minorEastAsia" w:hAnsiTheme="minorEastAsia" w:eastAsiaTheme="minorEastAsia" w:cstheme="minorEastAsia"/>
          <w:b/>
          <w:bCs/>
          <w:color w:val="auto"/>
          <w:sz w:val="21"/>
          <w:szCs w:val="21"/>
          <w:highlight w:val="none"/>
          <w:lang w:eastAsia="zh-CN"/>
        </w:rPr>
        <w:t>月</w:t>
      </w:r>
      <w:r>
        <w:rPr>
          <w:rFonts w:hint="eastAsia" w:asciiTheme="minorEastAsia" w:hAnsiTheme="minorEastAsia" w:eastAsiaTheme="minorEastAsia" w:cstheme="minorEastAsia"/>
          <w:b/>
          <w:bCs/>
          <w:color w:val="auto"/>
          <w:sz w:val="21"/>
          <w:szCs w:val="21"/>
          <w:highlight w:val="none"/>
          <w:lang w:val="en-US" w:eastAsia="zh-CN"/>
        </w:rPr>
        <w:t>16日09</w:t>
      </w:r>
      <w:r>
        <w:rPr>
          <w:rFonts w:hint="eastAsia" w:asciiTheme="minorEastAsia" w:hAnsiTheme="minorEastAsia" w:eastAsiaTheme="minorEastAsia" w:cstheme="minorEastAsia"/>
          <w:b/>
          <w:bCs/>
          <w:color w:val="auto"/>
          <w:sz w:val="21"/>
          <w:szCs w:val="21"/>
          <w:highlight w:val="none"/>
          <w:lang w:eastAsia="zh-CN"/>
        </w:rPr>
        <w:t>时</w:t>
      </w:r>
      <w:r>
        <w:rPr>
          <w:rFonts w:hint="eastAsia" w:asciiTheme="minorEastAsia" w:hAnsiTheme="minorEastAsia" w:eastAsiaTheme="minorEastAsia" w:cstheme="minorEastAsia"/>
          <w:b/>
          <w:bCs/>
          <w:color w:val="auto"/>
          <w:sz w:val="21"/>
          <w:szCs w:val="21"/>
          <w:highlight w:val="none"/>
          <w:lang w:val="en-US" w:eastAsia="zh-CN"/>
        </w:rPr>
        <w:t>30</w:t>
      </w:r>
      <w:r>
        <w:rPr>
          <w:rFonts w:hint="eastAsia" w:asciiTheme="minorEastAsia" w:hAnsiTheme="minorEastAsia" w:eastAsiaTheme="minorEastAsia" w:cstheme="minorEastAsia"/>
          <w:b/>
          <w:bCs/>
          <w:color w:val="auto"/>
          <w:sz w:val="21"/>
          <w:szCs w:val="21"/>
          <w:highlight w:val="none"/>
          <w:lang w:eastAsia="zh-CN"/>
        </w:rPr>
        <w:t>分(北京时间</w:t>
      </w:r>
      <w:r>
        <w:rPr>
          <w:rFonts w:hint="eastAsia" w:asciiTheme="minorEastAsia" w:hAnsiTheme="minorEastAsia" w:eastAsiaTheme="minorEastAsia" w:cstheme="minorEastAsia"/>
          <w:color w:val="auto"/>
          <w:sz w:val="21"/>
          <w:szCs w:val="21"/>
          <w:highlight w:val="none"/>
          <w:lang w:eastAsia="zh-CN"/>
        </w:rPr>
        <w:t>）开标后</w:t>
      </w:r>
    </w:p>
    <w:p w14:paraId="15481EF2">
      <w:p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eastAsia="zh-CN"/>
        </w:rPr>
        <w:t>地点:</w:t>
      </w:r>
      <w:r>
        <w:rPr>
          <w:rFonts w:hint="eastAsia" w:ascii="宋体" w:hAnsi="宋体" w:eastAsia="宋体" w:cs="宋体"/>
          <w:color w:val="auto"/>
          <w:kern w:val="0"/>
          <w:sz w:val="21"/>
          <w:szCs w:val="21"/>
          <w:highlight w:val="none"/>
          <w:lang w:val="en-US" w:eastAsia="zh-CN"/>
        </w:rPr>
        <w:t>广西农牧工程学校综合办公楼教育教学服务中心</w:t>
      </w:r>
    </w:p>
    <w:p w14:paraId="7E6E179F">
      <w:pPr>
        <w:spacing w:line="360" w:lineRule="auto"/>
        <w:ind w:firstLine="422" w:firstLineChars="200"/>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val="en-US" w:eastAsia="zh-CN"/>
        </w:rPr>
        <w:t>五</w:t>
      </w:r>
      <w:r>
        <w:rPr>
          <w:rFonts w:hint="eastAsia" w:asciiTheme="minorEastAsia" w:hAnsiTheme="minorEastAsia" w:eastAsiaTheme="minorEastAsia" w:cstheme="minorEastAsia"/>
          <w:b/>
          <w:bCs/>
          <w:color w:val="auto"/>
          <w:sz w:val="21"/>
          <w:szCs w:val="21"/>
          <w:highlight w:val="none"/>
          <w:lang w:eastAsia="zh-CN"/>
        </w:rPr>
        <w:t>、</w:t>
      </w:r>
      <w:r>
        <w:rPr>
          <w:rFonts w:hint="eastAsia" w:asciiTheme="minorEastAsia" w:hAnsiTheme="minorEastAsia" w:eastAsiaTheme="minorEastAsia" w:cstheme="minorEastAsia"/>
          <w:b/>
          <w:bCs/>
          <w:color w:val="auto"/>
          <w:sz w:val="21"/>
          <w:szCs w:val="21"/>
          <w:highlight w:val="none"/>
          <w:lang w:val="en-US" w:eastAsia="zh-CN"/>
        </w:rPr>
        <w:t>磋商</w:t>
      </w:r>
      <w:r>
        <w:rPr>
          <w:rFonts w:hint="eastAsia" w:asciiTheme="minorEastAsia" w:hAnsiTheme="minorEastAsia" w:eastAsiaTheme="minorEastAsia" w:cstheme="minorEastAsia"/>
          <w:b/>
          <w:bCs/>
          <w:color w:val="auto"/>
          <w:sz w:val="21"/>
          <w:szCs w:val="21"/>
          <w:highlight w:val="none"/>
          <w:lang w:eastAsia="zh-CN"/>
        </w:rPr>
        <w:t>时间及地点</w:t>
      </w:r>
    </w:p>
    <w:p w14:paraId="2F2F39C4">
      <w:pPr>
        <w:spacing w:line="360" w:lineRule="auto"/>
        <w:ind w:firstLine="42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时间:</w:t>
      </w:r>
      <w:r>
        <w:rPr>
          <w:rFonts w:hint="eastAsia" w:asciiTheme="minorEastAsia" w:hAnsiTheme="minorEastAsia" w:eastAsiaTheme="minorEastAsia" w:cstheme="minorEastAsia"/>
          <w:b/>
          <w:bCs/>
          <w:color w:val="auto"/>
          <w:sz w:val="21"/>
          <w:szCs w:val="21"/>
          <w:highlight w:val="none"/>
          <w:lang w:eastAsia="zh-CN"/>
        </w:rPr>
        <w:t>202</w:t>
      </w:r>
      <w:r>
        <w:rPr>
          <w:rFonts w:hint="eastAsia" w:asciiTheme="minorEastAsia" w:hAnsiTheme="minorEastAsia" w:eastAsiaTheme="minorEastAsia" w:cstheme="minorEastAsia"/>
          <w:b/>
          <w:bCs/>
          <w:color w:val="auto"/>
          <w:sz w:val="21"/>
          <w:szCs w:val="21"/>
          <w:highlight w:val="none"/>
          <w:lang w:val="en-US" w:eastAsia="zh-CN"/>
        </w:rPr>
        <w:t>4</w:t>
      </w:r>
      <w:r>
        <w:rPr>
          <w:rFonts w:hint="eastAsia" w:asciiTheme="minorEastAsia" w:hAnsiTheme="minorEastAsia" w:eastAsiaTheme="minorEastAsia" w:cstheme="minorEastAsia"/>
          <w:b/>
          <w:bCs/>
          <w:color w:val="auto"/>
          <w:sz w:val="21"/>
          <w:szCs w:val="21"/>
          <w:highlight w:val="none"/>
          <w:lang w:eastAsia="zh-CN"/>
        </w:rPr>
        <w:t>年</w:t>
      </w:r>
      <w:r>
        <w:rPr>
          <w:rFonts w:hint="eastAsia" w:asciiTheme="minorEastAsia" w:hAnsiTheme="minorEastAsia" w:eastAsiaTheme="minorEastAsia" w:cstheme="minorEastAsia"/>
          <w:b/>
          <w:bCs/>
          <w:color w:val="auto"/>
          <w:sz w:val="21"/>
          <w:szCs w:val="21"/>
          <w:highlight w:val="none"/>
          <w:lang w:val="en-US" w:eastAsia="zh-CN"/>
        </w:rPr>
        <w:t>12</w:t>
      </w:r>
      <w:r>
        <w:rPr>
          <w:rFonts w:hint="eastAsia" w:asciiTheme="minorEastAsia" w:hAnsiTheme="minorEastAsia" w:eastAsiaTheme="minorEastAsia" w:cstheme="minorEastAsia"/>
          <w:b/>
          <w:bCs/>
          <w:color w:val="auto"/>
          <w:sz w:val="21"/>
          <w:szCs w:val="21"/>
          <w:highlight w:val="none"/>
          <w:lang w:eastAsia="zh-CN"/>
        </w:rPr>
        <w:t>月</w:t>
      </w:r>
      <w:r>
        <w:rPr>
          <w:rFonts w:hint="eastAsia" w:asciiTheme="minorEastAsia" w:hAnsiTheme="minorEastAsia" w:eastAsiaTheme="minorEastAsia" w:cstheme="minorEastAsia"/>
          <w:b/>
          <w:bCs/>
          <w:color w:val="auto"/>
          <w:sz w:val="21"/>
          <w:szCs w:val="21"/>
          <w:highlight w:val="none"/>
          <w:lang w:val="en-US" w:eastAsia="zh-CN"/>
        </w:rPr>
        <w:t>16</w:t>
      </w:r>
      <w:r>
        <w:rPr>
          <w:rFonts w:hint="eastAsia" w:asciiTheme="minorEastAsia" w:hAnsiTheme="minorEastAsia" w:eastAsiaTheme="minorEastAsia" w:cstheme="minorEastAsia"/>
          <w:b/>
          <w:bCs/>
          <w:color w:val="auto"/>
          <w:sz w:val="21"/>
          <w:szCs w:val="21"/>
          <w:highlight w:val="none"/>
          <w:lang w:eastAsia="zh-CN"/>
        </w:rPr>
        <w:t>日</w:t>
      </w:r>
      <w:r>
        <w:rPr>
          <w:rFonts w:hint="eastAsia" w:asciiTheme="minorEastAsia" w:hAnsiTheme="minorEastAsia" w:eastAsiaTheme="minorEastAsia" w:cstheme="minorEastAsia"/>
          <w:b/>
          <w:bCs/>
          <w:color w:val="auto"/>
          <w:sz w:val="21"/>
          <w:szCs w:val="21"/>
          <w:highlight w:val="none"/>
          <w:lang w:val="en-US" w:eastAsia="zh-CN"/>
        </w:rPr>
        <w:t>09</w:t>
      </w:r>
      <w:r>
        <w:rPr>
          <w:rFonts w:hint="eastAsia" w:asciiTheme="minorEastAsia" w:hAnsiTheme="minorEastAsia" w:eastAsiaTheme="minorEastAsia" w:cstheme="minorEastAsia"/>
          <w:b/>
          <w:bCs/>
          <w:color w:val="auto"/>
          <w:sz w:val="21"/>
          <w:szCs w:val="21"/>
          <w:highlight w:val="none"/>
          <w:lang w:eastAsia="zh-CN"/>
        </w:rPr>
        <w:t>时</w:t>
      </w:r>
      <w:r>
        <w:rPr>
          <w:rFonts w:hint="eastAsia" w:asciiTheme="minorEastAsia" w:hAnsiTheme="minorEastAsia" w:eastAsiaTheme="minorEastAsia" w:cstheme="minorEastAsia"/>
          <w:b/>
          <w:bCs/>
          <w:color w:val="auto"/>
          <w:sz w:val="21"/>
          <w:szCs w:val="21"/>
          <w:highlight w:val="none"/>
          <w:lang w:val="en-US" w:eastAsia="zh-CN"/>
        </w:rPr>
        <w:t>30</w:t>
      </w:r>
      <w:r>
        <w:rPr>
          <w:rFonts w:hint="eastAsia" w:asciiTheme="minorEastAsia" w:hAnsiTheme="minorEastAsia" w:eastAsiaTheme="minorEastAsia" w:cstheme="minorEastAsia"/>
          <w:b/>
          <w:bCs/>
          <w:color w:val="auto"/>
          <w:sz w:val="21"/>
          <w:szCs w:val="21"/>
          <w:highlight w:val="none"/>
          <w:lang w:eastAsia="zh-CN"/>
        </w:rPr>
        <w:t>分(北京时间）</w:t>
      </w:r>
      <w:r>
        <w:rPr>
          <w:rFonts w:hint="eastAsia" w:asciiTheme="minorEastAsia" w:hAnsiTheme="minorEastAsia" w:eastAsiaTheme="minorEastAsia" w:cstheme="minorEastAsia"/>
          <w:color w:val="auto"/>
          <w:sz w:val="21"/>
          <w:szCs w:val="21"/>
          <w:highlight w:val="none"/>
          <w:lang w:eastAsia="zh-CN"/>
        </w:rPr>
        <w:t>截标后为与供应商磋商时间，具体时间由采购代理机构另行通知。</w:t>
      </w:r>
    </w:p>
    <w:p w14:paraId="6573770C">
      <w:p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eastAsia="zh-CN"/>
        </w:rPr>
        <w:t>地点</w:t>
      </w:r>
      <w:r>
        <w:rPr>
          <w:rFonts w:hint="eastAsia" w:ascii="宋体" w:hAnsi="宋体" w:eastAsia="宋体" w:cs="宋体"/>
          <w:color w:val="auto"/>
          <w:kern w:val="0"/>
          <w:sz w:val="21"/>
          <w:szCs w:val="21"/>
          <w:highlight w:val="none"/>
          <w:lang w:val="en-US" w:eastAsia="zh-CN"/>
        </w:rPr>
        <w:t>广西农牧工程学校综合办公楼教育教学服务中心</w:t>
      </w:r>
      <w:r>
        <w:rPr>
          <w:rFonts w:hint="eastAsia" w:asciiTheme="minorEastAsia" w:hAnsiTheme="minorEastAsia" w:eastAsiaTheme="minorEastAsia" w:cstheme="minorEastAsia"/>
          <w:color w:val="auto"/>
          <w:sz w:val="21"/>
          <w:szCs w:val="21"/>
          <w:highlight w:val="none"/>
          <w:lang w:val="en-US" w:eastAsia="zh-CN"/>
        </w:rPr>
        <w:t>参加磋商的供应商法定代表人或委托代理人必须出示本人有效身份证和法定代表人授权委托书（委托代理磋商时）依时到达指定地点分别进行磋商。</w:t>
      </w:r>
    </w:p>
    <w:p w14:paraId="4302F01C">
      <w:pPr>
        <w:spacing w:line="360" w:lineRule="auto"/>
        <w:ind w:firstLine="422" w:firstLineChars="200"/>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val="en-US" w:eastAsia="zh-CN"/>
        </w:rPr>
        <w:t>六</w:t>
      </w:r>
      <w:r>
        <w:rPr>
          <w:rFonts w:hint="eastAsia" w:asciiTheme="minorEastAsia" w:hAnsiTheme="minorEastAsia" w:eastAsiaTheme="minorEastAsia" w:cstheme="minorEastAsia"/>
          <w:b/>
          <w:bCs/>
          <w:color w:val="auto"/>
          <w:sz w:val="21"/>
          <w:szCs w:val="21"/>
          <w:highlight w:val="none"/>
          <w:lang w:eastAsia="zh-CN"/>
        </w:rPr>
        <w:t>、发布公告的媒介及公告期限</w:t>
      </w:r>
    </w:p>
    <w:p w14:paraId="22220BC1">
      <w:pPr>
        <w:spacing w:line="360" w:lineRule="auto"/>
        <w:ind w:firstLine="420" w:firstLineChars="200"/>
        <w:rPr>
          <w:rFonts w:hint="eastAsia" w:asciiTheme="minorEastAsia" w:hAnsiTheme="minorEastAsia" w:eastAsiaTheme="minorEastAsia" w:cstheme="minorEastAsia"/>
          <w:color w:val="auto"/>
          <w:sz w:val="21"/>
          <w:szCs w:val="21"/>
          <w:highlight w:val="none"/>
          <w:lang w:eastAsia="zh-CN"/>
        </w:rPr>
      </w:pPr>
      <w:r>
        <w:rPr>
          <w:rFonts w:hint="eastAsia" w:ascii="宋体" w:hAnsi="宋体" w:eastAsia="宋体" w:cs="宋体"/>
          <w:color w:val="auto"/>
          <w:sz w:val="21"/>
          <w:szCs w:val="21"/>
          <w:highlight w:val="none"/>
          <w:lang w:val="en-US" w:eastAsia="zh-CN"/>
        </w:rPr>
        <w:t>本次竞争性磋商公告在广西农牧工程学校官网上发布。</w:t>
      </w:r>
    </w:p>
    <w:p w14:paraId="5921D6E2">
      <w:pPr>
        <w:spacing w:line="360" w:lineRule="auto"/>
        <w:ind w:firstLine="422" w:firstLineChars="200"/>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val="en-US" w:eastAsia="zh-CN"/>
        </w:rPr>
        <w:t>七</w:t>
      </w:r>
      <w:r>
        <w:rPr>
          <w:rFonts w:hint="eastAsia" w:asciiTheme="minorEastAsia" w:hAnsiTheme="minorEastAsia" w:eastAsiaTheme="minorEastAsia" w:cstheme="minorEastAsia"/>
          <w:b/>
          <w:bCs/>
          <w:color w:val="auto"/>
          <w:sz w:val="21"/>
          <w:szCs w:val="21"/>
          <w:highlight w:val="none"/>
          <w:lang w:eastAsia="zh-CN"/>
        </w:rPr>
        <w:t>、联系方式</w:t>
      </w:r>
    </w:p>
    <w:p w14:paraId="0368D1E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 系 人：阙老师</w:t>
      </w:r>
    </w:p>
    <w:p w14:paraId="77135D5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    话：0772-2713195  13737262387</w:t>
      </w:r>
    </w:p>
    <w:p w14:paraId="4B7F7CC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地    址：柳州市柳北区沙塘镇沙塘街45号</w:t>
      </w:r>
    </w:p>
    <w:p w14:paraId="568BFCBB">
      <w:pPr>
        <w:spacing w:line="360" w:lineRule="auto"/>
        <w:ind w:firstLine="420" w:firstLineChars="200"/>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p w14:paraId="7018EFA2">
      <w:pPr>
        <w:spacing w:line="360" w:lineRule="auto"/>
        <w:ind w:firstLine="420" w:firstLineChars="200"/>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2024年12月3日</w:t>
      </w:r>
    </w:p>
    <w:p w14:paraId="3507E5D8">
      <w:pPr>
        <w:pStyle w:val="13"/>
        <w:ind w:left="1320"/>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p>
    <w:p w14:paraId="11F671DC">
      <w:pPr>
        <w:spacing w:line="360" w:lineRule="auto"/>
        <w:jc w:val="right"/>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sectPr>
          <w:footerReference r:id="rId3" w:type="default"/>
          <w:pgSz w:w="12240" w:h="15840"/>
          <w:pgMar w:top="1440" w:right="1800" w:bottom="1440" w:left="1800" w:header="0" w:footer="1136" w:gutter="0"/>
          <w:pgBorders>
            <w:top w:val="none" w:sz="0" w:space="0"/>
            <w:left w:val="none" w:sz="0" w:space="0"/>
            <w:bottom w:val="none" w:sz="0" w:space="0"/>
            <w:right w:val="none" w:sz="0" w:space="0"/>
          </w:pgBorders>
          <w:pgNumType w:fmt="decimal" w:start="1"/>
          <w:cols w:space="720" w:num="1"/>
        </w:sectPr>
      </w:pPr>
    </w:p>
    <w:p w14:paraId="5E017E69">
      <w:pPr>
        <w:spacing w:line="360" w:lineRule="auto"/>
        <w:jc w:val="center"/>
        <w:outlineLvl w:val="0"/>
        <w:rPr>
          <w:rFonts w:hint="eastAsia" w:asciiTheme="minorEastAsia" w:hAnsiTheme="minorEastAsia" w:eastAsiaTheme="minorEastAsia" w:cstheme="minorEastAsia"/>
          <w:b/>
          <w:bCs/>
          <w:color w:val="000000" w:themeColor="text1"/>
          <w:sz w:val="32"/>
          <w:szCs w:val="32"/>
          <w:highlight w:val="none"/>
          <w:lang w:eastAsia="zh-CN"/>
          <w14:textFill>
            <w14:solidFill>
              <w14:schemeClr w14:val="tx1"/>
            </w14:solidFill>
          </w14:textFill>
        </w:rPr>
      </w:pPr>
      <w:bookmarkStart w:id="7" w:name="_Toc28682"/>
      <w:r>
        <w:rPr>
          <w:rFonts w:hint="eastAsia" w:asciiTheme="minorEastAsia" w:hAnsiTheme="minorEastAsia" w:eastAsiaTheme="minorEastAsia" w:cstheme="minorEastAsia"/>
          <w:b/>
          <w:bCs/>
          <w:color w:val="000000" w:themeColor="text1"/>
          <w:sz w:val="32"/>
          <w:szCs w:val="32"/>
          <w:highlight w:val="none"/>
          <w:lang w:eastAsia="zh-CN"/>
          <w14:textFill>
            <w14:solidFill>
              <w14:schemeClr w14:val="tx1"/>
            </w14:solidFill>
          </w14:textFill>
        </w:rPr>
        <w:t>第二章</w:t>
      </w:r>
      <w:r>
        <w:rPr>
          <w:rFonts w:hint="eastAsia" w:asciiTheme="minorEastAsia" w:hAnsiTheme="minorEastAsia" w:eastAsiaTheme="minorEastAsia" w:cstheme="minorEastAsia"/>
          <w:b/>
          <w:bCs/>
          <w:color w:val="000000" w:themeColor="text1"/>
          <w:sz w:val="32"/>
          <w:szCs w:val="32"/>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32"/>
          <w:szCs w:val="32"/>
          <w:highlight w:val="none"/>
          <w:lang w:eastAsia="zh-CN"/>
          <w14:textFill>
            <w14:solidFill>
              <w14:schemeClr w14:val="tx1"/>
            </w14:solidFill>
          </w14:textFill>
        </w:rPr>
        <w:t>供应商须知</w:t>
      </w:r>
      <w:bookmarkEnd w:id="5"/>
      <w:bookmarkEnd w:id="7"/>
    </w:p>
    <w:p w14:paraId="30DFBEB0">
      <w:pPr>
        <w:spacing w:line="360" w:lineRule="auto"/>
        <w:jc w:val="center"/>
        <w:outlineLvl w:val="1"/>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bookmarkStart w:id="8" w:name="_Toc12163"/>
      <w:bookmarkStart w:id="9" w:name="_Toc15318"/>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供应商须知前附表</w:t>
      </w:r>
      <w:bookmarkEnd w:id="8"/>
      <w:bookmarkEnd w:id="9"/>
    </w:p>
    <w:p w14:paraId="5D6274B2">
      <w:pPr>
        <w:spacing w:before="2"/>
        <w:rPr>
          <w:rFonts w:hint="eastAsia" w:asciiTheme="minorEastAsia" w:hAnsiTheme="minorEastAsia" w:eastAsiaTheme="minorEastAsia" w:cstheme="minorEastAsia"/>
          <w:b/>
          <w:bCs/>
          <w:color w:val="000000" w:themeColor="text1"/>
          <w:sz w:val="3"/>
          <w:szCs w:val="3"/>
          <w:highlight w:val="none"/>
          <w14:textFill>
            <w14:solidFill>
              <w14:schemeClr w14:val="tx1"/>
            </w14:solidFill>
          </w14:textFill>
        </w:rPr>
      </w:pPr>
    </w:p>
    <w:tbl>
      <w:tblPr>
        <w:tblStyle w:val="28"/>
        <w:tblW w:w="8699" w:type="dxa"/>
        <w:tblInd w:w="118" w:type="dxa"/>
        <w:tblLayout w:type="fixed"/>
        <w:tblCellMar>
          <w:top w:w="113" w:type="dxa"/>
          <w:left w:w="113" w:type="dxa"/>
          <w:bottom w:w="57" w:type="dxa"/>
          <w:right w:w="113" w:type="dxa"/>
        </w:tblCellMar>
      </w:tblPr>
      <w:tblGrid>
        <w:gridCol w:w="875"/>
        <w:gridCol w:w="2157"/>
        <w:gridCol w:w="5667"/>
      </w:tblGrid>
      <w:tr w14:paraId="19763AF4">
        <w:tblPrEx>
          <w:tblCellMar>
            <w:top w:w="113" w:type="dxa"/>
            <w:left w:w="113" w:type="dxa"/>
            <w:bottom w:w="57" w:type="dxa"/>
            <w:right w:w="113" w:type="dxa"/>
          </w:tblCellMar>
        </w:tblPrEx>
        <w:trPr>
          <w:trHeight w:val="740" w:hRule="atLeast"/>
        </w:trPr>
        <w:tc>
          <w:tcPr>
            <w:tcW w:w="875" w:type="dxa"/>
            <w:tcBorders>
              <w:top w:val="single" w:color="000000" w:sz="4" w:space="0"/>
              <w:left w:val="single" w:color="000000" w:sz="4" w:space="0"/>
              <w:bottom w:val="single" w:color="000000" w:sz="4" w:space="0"/>
              <w:right w:val="single" w:color="000000" w:sz="4" w:space="0"/>
            </w:tcBorders>
            <w:vAlign w:val="center"/>
          </w:tcPr>
          <w:p w14:paraId="55E8A271">
            <w:pPr>
              <w:pStyle w:val="36"/>
              <w:spacing w:line="360" w:lineRule="auto"/>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序号</w:t>
            </w:r>
          </w:p>
        </w:tc>
        <w:tc>
          <w:tcPr>
            <w:tcW w:w="2157" w:type="dxa"/>
            <w:tcBorders>
              <w:top w:val="single" w:color="000000" w:sz="4" w:space="0"/>
              <w:left w:val="single" w:color="000000" w:sz="4" w:space="0"/>
              <w:bottom w:val="single" w:color="000000" w:sz="4" w:space="0"/>
              <w:right w:val="single" w:color="000000" w:sz="4" w:space="0"/>
            </w:tcBorders>
            <w:vAlign w:val="center"/>
          </w:tcPr>
          <w:p w14:paraId="30C25457">
            <w:pPr>
              <w:pStyle w:val="36"/>
              <w:spacing w:line="360" w:lineRule="auto"/>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名称</w:t>
            </w:r>
          </w:p>
        </w:tc>
        <w:tc>
          <w:tcPr>
            <w:tcW w:w="5667" w:type="dxa"/>
            <w:tcBorders>
              <w:top w:val="single" w:color="000000" w:sz="4" w:space="0"/>
              <w:left w:val="single" w:color="000000" w:sz="4" w:space="0"/>
              <w:bottom w:val="single" w:color="000000" w:sz="4" w:space="0"/>
              <w:right w:val="single" w:color="000000" w:sz="4" w:space="0"/>
            </w:tcBorders>
            <w:vAlign w:val="center"/>
          </w:tcPr>
          <w:p w14:paraId="247B4446">
            <w:pPr>
              <w:pStyle w:val="36"/>
              <w:spacing w:line="360" w:lineRule="auto"/>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内容</w:t>
            </w:r>
          </w:p>
        </w:tc>
      </w:tr>
      <w:tr w14:paraId="520B41D2">
        <w:tblPrEx>
          <w:tblCellMar>
            <w:top w:w="113" w:type="dxa"/>
            <w:left w:w="113" w:type="dxa"/>
            <w:bottom w:w="57" w:type="dxa"/>
            <w:right w:w="113" w:type="dxa"/>
          </w:tblCellMar>
        </w:tblPrEx>
        <w:trPr>
          <w:trHeight w:val="90" w:hRule="atLeast"/>
        </w:trPr>
        <w:tc>
          <w:tcPr>
            <w:tcW w:w="875" w:type="dxa"/>
            <w:tcBorders>
              <w:top w:val="single" w:color="000000" w:sz="4" w:space="0"/>
              <w:left w:val="single" w:color="000000" w:sz="4" w:space="0"/>
              <w:bottom w:val="single" w:color="000000" w:sz="4" w:space="0"/>
              <w:right w:val="single" w:color="000000" w:sz="4" w:space="0"/>
            </w:tcBorders>
            <w:vAlign w:val="center"/>
          </w:tcPr>
          <w:p w14:paraId="566D4274">
            <w:pPr>
              <w:pStyle w:val="36"/>
              <w:spacing w:line="360" w:lineRule="auto"/>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1</w:t>
            </w:r>
          </w:p>
        </w:tc>
        <w:tc>
          <w:tcPr>
            <w:tcW w:w="2157" w:type="dxa"/>
            <w:tcBorders>
              <w:top w:val="single" w:color="000000" w:sz="4" w:space="0"/>
              <w:left w:val="single" w:color="000000" w:sz="4" w:space="0"/>
              <w:bottom w:val="single" w:color="000000" w:sz="4" w:space="0"/>
              <w:right w:val="single" w:color="000000" w:sz="4" w:space="0"/>
            </w:tcBorders>
            <w:vAlign w:val="center"/>
          </w:tcPr>
          <w:p w14:paraId="3CCF3F34">
            <w:pPr>
              <w:pStyle w:val="36"/>
              <w:spacing w:line="360" w:lineRule="auto"/>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采购人</w:t>
            </w:r>
          </w:p>
        </w:tc>
        <w:tc>
          <w:tcPr>
            <w:tcW w:w="5667" w:type="dxa"/>
            <w:tcBorders>
              <w:top w:val="single" w:color="000000" w:sz="4" w:space="0"/>
              <w:left w:val="single" w:color="000000" w:sz="4" w:space="0"/>
              <w:bottom w:val="single" w:color="000000" w:sz="4" w:space="0"/>
              <w:right w:val="single" w:color="000000" w:sz="4" w:space="0"/>
            </w:tcBorders>
            <w:vAlign w:val="center"/>
          </w:tcPr>
          <w:p w14:paraId="6F759E29">
            <w:pPr>
              <w:pStyle w:val="36"/>
              <w:spacing w:line="360" w:lineRule="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广西农牧工程学校</w:t>
            </w:r>
          </w:p>
          <w:p w14:paraId="4AB5224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left"/>
              <w:textAlignment w:val="auto"/>
              <w:rPr>
                <w:rFonts w:hint="eastAsia" w:ascii="宋体" w:hAnsi="宋体" w:eastAsia="宋体" w:cs="宋体"/>
                <w:color w:val="auto"/>
                <w:sz w:val="21"/>
                <w:szCs w:val="21"/>
                <w:highlight w:val="none"/>
                <w:lang w:val="en-US" w:eastAsia="zh-CN"/>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地址：</w:t>
            </w:r>
            <w:r>
              <w:rPr>
                <w:rFonts w:hint="eastAsia" w:ascii="宋体" w:hAnsi="宋体" w:eastAsia="宋体" w:cs="宋体"/>
                <w:color w:val="auto"/>
                <w:sz w:val="21"/>
                <w:szCs w:val="21"/>
                <w:highlight w:val="none"/>
                <w:lang w:val="en-US" w:eastAsia="zh-CN"/>
              </w:rPr>
              <w:t>柳州市柳北区沙塘镇沙塘街45号</w:t>
            </w:r>
          </w:p>
          <w:p w14:paraId="77EBF96E">
            <w:pPr>
              <w:pStyle w:val="10"/>
              <w:rPr>
                <w:rFonts w:hint="eastAsia"/>
                <w:lang w:val="en-US" w:eastAsia="zh-CN"/>
              </w:rPr>
            </w:pPr>
          </w:p>
          <w:p w14:paraId="48F34B42">
            <w:pPr>
              <w:pStyle w:val="36"/>
              <w:spacing w:line="360" w:lineRule="auto"/>
              <w:rPr>
                <w:rFonts w:hint="eastAsia" w:asciiTheme="minorEastAsia" w:hAnsiTheme="minorEastAsia" w:eastAsiaTheme="minorEastAsia" w:cstheme="minorEastAsia"/>
                <w:color w:val="000000" w:themeColor="text1"/>
                <w:w w:val="99"/>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联系人：</w:t>
            </w:r>
            <w:r>
              <w:rPr>
                <w:rFonts w:hint="eastAsia" w:ascii="宋体" w:hAnsi="宋体" w:eastAsia="宋体" w:cs="宋体"/>
                <w:color w:val="auto"/>
                <w:sz w:val="21"/>
                <w:szCs w:val="21"/>
                <w:highlight w:val="none"/>
                <w:lang w:val="en-US" w:eastAsia="zh-CN"/>
              </w:rPr>
              <w:t>阙老师</w:t>
            </w:r>
          </w:p>
          <w:p w14:paraId="2DD692C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left"/>
              <w:textAlignment w:val="auto"/>
              <w:rPr>
                <w:rFonts w:hint="default" w:ascii="宋体" w:hAnsi="宋体" w:eastAsia="宋体" w:cs="宋体"/>
                <w:color w:val="auto"/>
                <w:sz w:val="21"/>
                <w:szCs w:val="21"/>
                <w:highlight w:val="none"/>
                <w:lang w:val="en-US" w:eastAsia="zh-CN"/>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联系方式：</w:t>
            </w:r>
            <w:r>
              <w:rPr>
                <w:rFonts w:hint="eastAsia" w:ascii="宋体" w:hAnsi="宋体" w:eastAsia="宋体" w:cs="宋体"/>
                <w:color w:val="auto"/>
                <w:sz w:val="21"/>
                <w:szCs w:val="21"/>
                <w:highlight w:val="none"/>
                <w:lang w:val="en-US" w:eastAsia="zh-CN"/>
              </w:rPr>
              <w:t>0772-2713195  13737262387</w:t>
            </w:r>
          </w:p>
          <w:p w14:paraId="5EAC8879">
            <w:pPr>
              <w:pStyle w:val="36"/>
              <w:spacing w:line="360" w:lineRule="auto"/>
              <w:ind w:left="110" w:leftChars="50"/>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p>
        </w:tc>
      </w:tr>
      <w:tr w14:paraId="548ED4C6">
        <w:tblPrEx>
          <w:tblCellMar>
            <w:top w:w="113" w:type="dxa"/>
            <w:left w:w="113" w:type="dxa"/>
            <w:bottom w:w="57" w:type="dxa"/>
            <w:right w:w="113" w:type="dxa"/>
          </w:tblCellMar>
        </w:tblPrEx>
        <w:trPr>
          <w:trHeight w:val="740" w:hRule="atLeast"/>
        </w:trPr>
        <w:tc>
          <w:tcPr>
            <w:tcW w:w="875" w:type="dxa"/>
            <w:tcBorders>
              <w:top w:val="single" w:color="000000" w:sz="4" w:space="0"/>
              <w:left w:val="single" w:color="000000" w:sz="4" w:space="0"/>
              <w:bottom w:val="single" w:color="000000" w:sz="4" w:space="0"/>
              <w:right w:val="single" w:color="000000" w:sz="4" w:space="0"/>
            </w:tcBorders>
            <w:vAlign w:val="center"/>
          </w:tcPr>
          <w:p w14:paraId="7CADA32D">
            <w:pPr>
              <w:pStyle w:val="36"/>
              <w:spacing w:line="360" w:lineRule="auto"/>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3</w:t>
            </w:r>
          </w:p>
        </w:tc>
        <w:tc>
          <w:tcPr>
            <w:tcW w:w="2157" w:type="dxa"/>
            <w:tcBorders>
              <w:top w:val="single" w:color="000000" w:sz="4" w:space="0"/>
              <w:left w:val="single" w:color="000000" w:sz="4" w:space="0"/>
              <w:bottom w:val="single" w:color="000000" w:sz="4" w:space="0"/>
              <w:right w:val="single" w:color="000000" w:sz="4" w:space="0"/>
            </w:tcBorders>
            <w:vAlign w:val="center"/>
          </w:tcPr>
          <w:p w14:paraId="4EE0C5DB">
            <w:pPr>
              <w:pStyle w:val="36"/>
              <w:spacing w:line="360" w:lineRule="auto"/>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项目名称</w:t>
            </w:r>
          </w:p>
        </w:tc>
        <w:tc>
          <w:tcPr>
            <w:tcW w:w="5667" w:type="dxa"/>
            <w:tcBorders>
              <w:top w:val="single" w:color="000000" w:sz="4" w:space="0"/>
              <w:left w:val="single" w:color="000000" w:sz="4" w:space="0"/>
              <w:bottom w:val="single" w:color="000000" w:sz="4" w:space="0"/>
              <w:right w:val="single" w:color="000000" w:sz="4" w:space="0"/>
            </w:tcBorders>
            <w:vAlign w:val="center"/>
          </w:tcPr>
          <w:p w14:paraId="53708762">
            <w:pPr>
              <w:pStyle w:val="36"/>
              <w:spacing w:line="360" w:lineRule="auto"/>
              <w:ind w:left="110" w:leftChars="5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宋体" w:hAnsi="宋体" w:eastAsia="宋体" w:cs="宋体"/>
                <w:color w:val="auto"/>
                <w:sz w:val="21"/>
                <w:szCs w:val="21"/>
                <w:highlight w:val="none"/>
                <w:lang w:val="en-US" w:eastAsia="zh-CN" w:bidi="ar-SA"/>
              </w:rPr>
              <w:t>1#学生宿舍项目工程勘察服务</w:t>
            </w:r>
          </w:p>
        </w:tc>
      </w:tr>
      <w:tr w14:paraId="3E853856">
        <w:tblPrEx>
          <w:tblCellMar>
            <w:top w:w="113" w:type="dxa"/>
            <w:left w:w="113" w:type="dxa"/>
            <w:bottom w:w="57" w:type="dxa"/>
            <w:right w:w="113" w:type="dxa"/>
          </w:tblCellMar>
        </w:tblPrEx>
        <w:trPr>
          <w:trHeight w:val="740" w:hRule="atLeast"/>
        </w:trPr>
        <w:tc>
          <w:tcPr>
            <w:tcW w:w="875" w:type="dxa"/>
            <w:tcBorders>
              <w:top w:val="single" w:color="000000" w:sz="4" w:space="0"/>
              <w:left w:val="single" w:color="000000" w:sz="4" w:space="0"/>
              <w:bottom w:val="single" w:color="000000" w:sz="4" w:space="0"/>
              <w:right w:val="single" w:color="000000" w:sz="4" w:space="0"/>
            </w:tcBorders>
            <w:vAlign w:val="center"/>
          </w:tcPr>
          <w:p w14:paraId="02E0CCCB">
            <w:pPr>
              <w:pStyle w:val="36"/>
              <w:spacing w:line="360" w:lineRule="auto"/>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4</w:t>
            </w:r>
          </w:p>
        </w:tc>
        <w:tc>
          <w:tcPr>
            <w:tcW w:w="2157" w:type="dxa"/>
            <w:tcBorders>
              <w:top w:val="single" w:color="000000" w:sz="4" w:space="0"/>
              <w:left w:val="single" w:color="000000" w:sz="4" w:space="0"/>
              <w:bottom w:val="single" w:color="000000" w:sz="4" w:space="0"/>
              <w:right w:val="single" w:color="000000" w:sz="4" w:space="0"/>
            </w:tcBorders>
            <w:vAlign w:val="center"/>
          </w:tcPr>
          <w:p w14:paraId="5860D90E">
            <w:pPr>
              <w:pStyle w:val="36"/>
              <w:spacing w:line="360" w:lineRule="auto"/>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磋商范围</w:t>
            </w:r>
          </w:p>
        </w:tc>
        <w:tc>
          <w:tcPr>
            <w:tcW w:w="5667" w:type="dxa"/>
            <w:tcBorders>
              <w:top w:val="single" w:color="000000" w:sz="4" w:space="0"/>
              <w:left w:val="single" w:color="000000" w:sz="4" w:space="0"/>
              <w:bottom w:val="single" w:color="000000" w:sz="4" w:space="0"/>
              <w:right w:val="single" w:color="000000" w:sz="4" w:space="0"/>
            </w:tcBorders>
            <w:vAlign w:val="center"/>
          </w:tcPr>
          <w:p w14:paraId="15B2BC31">
            <w:pPr>
              <w:pStyle w:val="36"/>
              <w:spacing w:line="360" w:lineRule="auto"/>
              <w:ind w:left="110" w:leftChars="5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1#学生宿舍项目工程勘察服务项目（详见磋商文件）</w:t>
            </w:r>
          </w:p>
        </w:tc>
      </w:tr>
      <w:tr w14:paraId="38DDC43E">
        <w:tblPrEx>
          <w:tblCellMar>
            <w:top w:w="113" w:type="dxa"/>
            <w:left w:w="113" w:type="dxa"/>
            <w:bottom w:w="57" w:type="dxa"/>
            <w:right w:w="113" w:type="dxa"/>
          </w:tblCellMar>
        </w:tblPrEx>
        <w:trPr>
          <w:trHeight w:val="740" w:hRule="atLeast"/>
        </w:trPr>
        <w:tc>
          <w:tcPr>
            <w:tcW w:w="875" w:type="dxa"/>
            <w:tcBorders>
              <w:top w:val="single" w:color="000000" w:sz="4" w:space="0"/>
              <w:left w:val="single" w:color="000000" w:sz="4" w:space="0"/>
              <w:bottom w:val="single" w:color="000000" w:sz="4" w:space="0"/>
              <w:right w:val="single" w:color="000000" w:sz="4" w:space="0"/>
            </w:tcBorders>
            <w:vAlign w:val="center"/>
          </w:tcPr>
          <w:p w14:paraId="520BD7A8">
            <w:pPr>
              <w:pStyle w:val="36"/>
              <w:spacing w:line="360" w:lineRule="auto"/>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w:t>
            </w:r>
          </w:p>
        </w:tc>
        <w:tc>
          <w:tcPr>
            <w:tcW w:w="2157" w:type="dxa"/>
            <w:tcBorders>
              <w:top w:val="single" w:color="000000" w:sz="4" w:space="0"/>
              <w:left w:val="single" w:color="000000" w:sz="4" w:space="0"/>
              <w:bottom w:val="single" w:color="000000" w:sz="4" w:space="0"/>
              <w:right w:val="single" w:color="000000" w:sz="4" w:space="0"/>
            </w:tcBorders>
            <w:vAlign w:val="center"/>
          </w:tcPr>
          <w:p w14:paraId="7CA235D4">
            <w:pPr>
              <w:pStyle w:val="36"/>
              <w:spacing w:line="360" w:lineRule="auto"/>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宋体" w:hAnsi="宋体" w:cs="宋体"/>
                <w:color w:val="auto"/>
                <w:kern w:val="0"/>
                <w:sz w:val="21"/>
                <w:szCs w:val="21"/>
                <w:highlight w:val="none"/>
                <w:lang w:val="en-US" w:eastAsia="zh-CN"/>
              </w:rPr>
              <w:t>项目完成时间要求</w:t>
            </w:r>
          </w:p>
        </w:tc>
        <w:tc>
          <w:tcPr>
            <w:tcW w:w="5667" w:type="dxa"/>
            <w:tcBorders>
              <w:top w:val="single" w:color="000000" w:sz="4" w:space="0"/>
              <w:left w:val="single" w:color="000000" w:sz="4" w:space="0"/>
              <w:bottom w:val="single" w:color="000000" w:sz="4" w:space="0"/>
              <w:right w:val="single" w:color="000000" w:sz="4" w:space="0"/>
            </w:tcBorders>
            <w:vAlign w:val="center"/>
          </w:tcPr>
          <w:p w14:paraId="45841AB1">
            <w:pPr>
              <w:pStyle w:val="36"/>
              <w:spacing w:line="360" w:lineRule="auto"/>
              <w:ind w:left="110" w:leftChars="50"/>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cs="宋体"/>
                <w:color w:val="auto"/>
                <w:kern w:val="0"/>
                <w:sz w:val="21"/>
                <w:szCs w:val="21"/>
                <w:highlight w:val="none"/>
                <w:lang w:val="en-US" w:eastAsia="zh-CN"/>
              </w:rPr>
              <w:t>12天（具体勘察时间另行通知）</w:t>
            </w:r>
          </w:p>
        </w:tc>
      </w:tr>
      <w:tr w14:paraId="10CD1B44">
        <w:tblPrEx>
          <w:tblCellMar>
            <w:top w:w="113" w:type="dxa"/>
            <w:left w:w="113" w:type="dxa"/>
            <w:bottom w:w="57" w:type="dxa"/>
            <w:right w:w="113" w:type="dxa"/>
          </w:tblCellMar>
        </w:tblPrEx>
        <w:trPr>
          <w:trHeight w:val="740" w:hRule="atLeast"/>
        </w:trPr>
        <w:tc>
          <w:tcPr>
            <w:tcW w:w="875" w:type="dxa"/>
            <w:tcBorders>
              <w:top w:val="single" w:color="000000" w:sz="4" w:space="0"/>
              <w:left w:val="single" w:color="000000" w:sz="4" w:space="0"/>
              <w:bottom w:val="single" w:color="000000" w:sz="4" w:space="0"/>
              <w:right w:val="single" w:color="000000" w:sz="4" w:space="0"/>
            </w:tcBorders>
            <w:vAlign w:val="center"/>
          </w:tcPr>
          <w:p w14:paraId="17EBFED5">
            <w:pPr>
              <w:pStyle w:val="36"/>
              <w:spacing w:line="360" w:lineRule="auto"/>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6</w:t>
            </w:r>
          </w:p>
        </w:tc>
        <w:tc>
          <w:tcPr>
            <w:tcW w:w="2157" w:type="dxa"/>
            <w:tcBorders>
              <w:top w:val="single" w:color="000000" w:sz="4" w:space="0"/>
              <w:left w:val="single" w:color="000000" w:sz="4" w:space="0"/>
              <w:bottom w:val="single" w:color="000000" w:sz="4" w:space="0"/>
              <w:right w:val="single" w:color="000000" w:sz="4" w:space="0"/>
            </w:tcBorders>
            <w:vAlign w:val="center"/>
          </w:tcPr>
          <w:p w14:paraId="06BA0022">
            <w:pPr>
              <w:pStyle w:val="36"/>
              <w:spacing w:line="360" w:lineRule="auto"/>
              <w:jc w:val="center"/>
              <w:rPr>
                <w:rFonts w:hint="eastAsia" w:asciiTheme="minorEastAsia" w:hAnsiTheme="minorEastAsia" w:eastAsiaTheme="minorEastAsia" w:cstheme="minorEastAsia"/>
                <w:color w:val="000000" w:themeColor="text1"/>
                <w:sz w:val="21"/>
                <w:szCs w:val="21"/>
                <w:highlight w:val="none"/>
                <w:lang w:val="en-US"/>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磋商有效期</w:t>
            </w:r>
          </w:p>
        </w:tc>
        <w:tc>
          <w:tcPr>
            <w:tcW w:w="5667" w:type="dxa"/>
            <w:tcBorders>
              <w:top w:val="single" w:color="000000" w:sz="4" w:space="0"/>
              <w:left w:val="single" w:color="000000" w:sz="4" w:space="0"/>
              <w:bottom w:val="single" w:color="000000" w:sz="4" w:space="0"/>
              <w:right w:val="single" w:color="000000" w:sz="4" w:space="0"/>
            </w:tcBorders>
            <w:vAlign w:val="center"/>
          </w:tcPr>
          <w:p w14:paraId="497D88A7">
            <w:pPr>
              <w:pStyle w:val="36"/>
              <w:spacing w:line="360" w:lineRule="auto"/>
              <w:ind w:left="110" w:leftChars="50"/>
              <w:jc w:val="both"/>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60日历天（投标截止时间起）</w:t>
            </w:r>
          </w:p>
        </w:tc>
      </w:tr>
      <w:tr w14:paraId="4EC9528E">
        <w:tblPrEx>
          <w:tblCellMar>
            <w:top w:w="113" w:type="dxa"/>
            <w:left w:w="113" w:type="dxa"/>
            <w:bottom w:w="57" w:type="dxa"/>
            <w:right w:w="113" w:type="dxa"/>
          </w:tblCellMar>
        </w:tblPrEx>
        <w:trPr>
          <w:trHeight w:val="90" w:hRule="atLeast"/>
        </w:trPr>
        <w:tc>
          <w:tcPr>
            <w:tcW w:w="875" w:type="dxa"/>
            <w:tcBorders>
              <w:top w:val="single" w:color="000000" w:sz="4" w:space="0"/>
              <w:left w:val="single" w:color="000000" w:sz="4" w:space="0"/>
              <w:bottom w:val="single" w:color="000000" w:sz="4" w:space="0"/>
              <w:right w:val="single" w:color="000000" w:sz="4" w:space="0"/>
            </w:tcBorders>
            <w:vAlign w:val="center"/>
          </w:tcPr>
          <w:p w14:paraId="0F83FFC8">
            <w:pPr>
              <w:pStyle w:val="36"/>
              <w:spacing w:line="36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7</w:t>
            </w:r>
          </w:p>
        </w:tc>
        <w:tc>
          <w:tcPr>
            <w:tcW w:w="2157" w:type="dxa"/>
            <w:tcBorders>
              <w:top w:val="single" w:color="000000" w:sz="4" w:space="0"/>
              <w:left w:val="single" w:color="000000" w:sz="4" w:space="0"/>
              <w:bottom w:val="single" w:color="000000" w:sz="4" w:space="0"/>
              <w:right w:val="single" w:color="000000" w:sz="4" w:space="0"/>
            </w:tcBorders>
            <w:vAlign w:val="center"/>
          </w:tcPr>
          <w:p w14:paraId="7E0371CB">
            <w:pPr>
              <w:pStyle w:val="36"/>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供应商资格条件</w:t>
            </w:r>
          </w:p>
        </w:tc>
        <w:tc>
          <w:tcPr>
            <w:tcW w:w="5667" w:type="dxa"/>
            <w:tcBorders>
              <w:top w:val="single" w:color="000000" w:sz="4" w:space="0"/>
              <w:left w:val="single" w:color="000000" w:sz="4" w:space="0"/>
              <w:bottom w:val="single" w:color="000000" w:sz="4" w:space="0"/>
              <w:right w:val="single" w:color="000000" w:sz="4" w:space="0"/>
            </w:tcBorders>
            <w:vAlign w:val="center"/>
          </w:tcPr>
          <w:p w14:paraId="68AA6EF4">
            <w:pPr>
              <w:spacing w:line="360" w:lineRule="auto"/>
              <w:ind w:firstLine="42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 xml:space="preserve">1、满足《中华人民共和国政府采购法》第二十二条； </w:t>
            </w:r>
          </w:p>
          <w:p w14:paraId="26838251">
            <w:p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2、国内注册（指按国家有关规定要求注册的），达到本次采购服务要求的供应商。</w:t>
            </w:r>
          </w:p>
          <w:p w14:paraId="7D3FC3F6">
            <w:pPr>
              <w:keepNext w:val="0"/>
              <w:keepLines w:val="0"/>
              <w:pageBreakBefore w:val="0"/>
              <w:kinsoku/>
              <w:wordWrap/>
              <w:overflowPunct/>
              <w:topLinePunct w:val="0"/>
              <w:autoSpaceDE w:val="0"/>
              <w:autoSpaceDN w:val="0"/>
              <w:bidi w:val="0"/>
              <w:adjustRightInd w:val="0"/>
              <w:snapToGrid/>
              <w:spacing w:line="380" w:lineRule="exact"/>
              <w:ind w:firstLine="420" w:firstLineChars="20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3、竞标人须具备</w:t>
            </w:r>
            <w:r>
              <w:rPr>
                <w:rFonts w:hint="eastAsia" w:ascii="宋体" w:hAnsi="宋体" w:cs="宋体"/>
                <w:bCs/>
                <w:color w:val="auto"/>
                <w:szCs w:val="21"/>
              </w:rPr>
              <w:t>本次</w:t>
            </w:r>
            <w:r>
              <w:rPr>
                <w:rFonts w:hint="eastAsia" w:ascii="宋体" w:hAnsi="宋体" w:eastAsia="宋体" w:cs="宋体"/>
                <w:bCs/>
                <w:color w:val="auto"/>
                <w:szCs w:val="21"/>
                <w:lang w:val="en-US" w:eastAsia="zh-CN"/>
              </w:rPr>
              <w:t>磋商</w:t>
            </w:r>
            <w:r>
              <w:rPr>
                <w:rFonts w:hint="eastAsia" w:ascii="宋体" w:hAnsi="宋体" w:cs="宋体"/>
                <w:bCs/>
                <w:color w:val="auto"/>
                <w:szCs w:val="21"/>
              </w:rPr>
              <w:t>要求</w:t>
            </w:r>
            <w:r>
              <w:rPr>
                <w:rFonts w:hint="eastAsia" w:ascii="宋体" w:hAnsi="宋体" w:eastAsia="宋体" w:cs="宋体"/>
                <w:color w:val="auto"/>
                <w:kern w:val="0"/>
                <w:sz w:val="21"/>
                <w:szCs w:val="21"/>
                <w:highlight w:val="none"/>
                <w:lang w:val="en-US" w:eastAsia="zh-CN"/>
              </w:rPr>
              <w:t>竞标人</w:t>
            </w:r>
            <w:r>
              <w:rPr>
                <w:rFonts w:hint="eastAsia" w:ascii="宋体" w:hAnsi="宋体" w:cs="宋体"/>
                <w:bCs/>
                <w:color w:val="auto"/>
                <w:szCs w:val="21"/>
              </w:rPr>
              <w:t>须具备工程勘察综合类</w:t>
            </w:r>
            <w:r>
              <w:rPr>
                <w:rFonts w:hint="eastAsia" w:ascii="宋体" w:hAnsi="宋体" w:cs="宋体"/>
                <w:bCs/>
                <w:color w:val="auto"/>
                <w:szCs w:val="21"/>
                <w:lang w:val="en-US" w:eastAsia="zh-CN"/>
              </w:rPr>
              <w:t>甲</w:t>
            </w:r>
            <w:r>
              <w:rPr>
                <w:rFonts w:hint="eastAsia" w:ascii="宋体" w:hAnsi="宋体" w:cs="宋体"/>
                <w:bCs/>
                <w:color w:val="auto"/>
                <w:szCs w:val="21"/>
              </w:rPr>
              <w:t>级或工程勘察专业类岩土工程勘察</w:t>
            </w:r>
            <w:r>
              <w:rPr>
                <w:rFonts w:hint="eastAsia" w:ascii="宋体" w:hAnsi="宋体" w:cs="宋体"/>
                <w:bCs/>
                <w:color w:val="auto"/>
                <w:szCs w:val="21"/>
                <w:lang w:val="en-US" w:eastAsia="zh-CN"/>
              </w:rPr>
              <w:t>乙</w:t>
            </w:r>
            <w:r>
              <w:rPr>
                <w:rFonts w:hint="eastAsia" w:ascii="宋体" w:hAnsi="宋体" w:cs="宋体"/>
                <w:bCs/>
                <w:color w:val="auto"/>
                <w:szCs w:val="21"/>
              </w:rPr>
              <w:t>级及以上资质（含</w:t>
            </w:r>
            <w:r>
              <w:rPr>
                <w:rFonts w:hint="eastAsia" w:ascii="宋体" w:hAnsi="宋体" w:cs="宋体"/>
                <w:bCs/>
                <w:color w:val="auto"/>
                <w:szCs w:val="21"/>
                <w:lang w:val="en-US" w:eastAsia="zh-CN"/>
              </w:rPr>
              <w:t>乙</w:t>
            </w:r>
            <w:r>
              <w:rPr>
                <w:rFonts w:hint="eastAsia" w:ascii="宋体" w:hAnsi="宋体" w:cs="宋体"/>
                <w:bCs/>
                <w:color w:val="auto"/>
                <w:szCs w:val="21"/>
              </w:rPr>
              <w:t>级资质）</w:t>
            </w:r>
            <w:r>
              <w:rPr>
                <w:rFonts w:hint="eastAsia" w:ascii="宋体" w:hAnsi="宋体" w:eastAsia="宋体" w:cs="宋体"/>
                <w:color w:val="auto"/>
                <w:kern w:val="0"/>
                <w:sz w:val="21"/>
                <w:szCs w:val="21"/>
                <w:highlight w:val="none"/>
                <w:lang w:val="en-US" w:eastAsia="zh-CN"/>
              </w:rPr>
              <w:t>，并在人员、设备、资金等方面具有相应的项目实施能力。</w:t>
            </w:r>
          </w:p>
          <w:p w14:paraId="71D86E24">
            <w:p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rPr>
              <w:t>4、项目负责人的资格要求：</w:t>
            </w:r>
            <w:r>
              <w:rPr>
                <w:rFonts w:hint="eastAsia" w:ascii="宋体" w:hAnsi="宋体" w:cs="宋体"/>
                <w:color w:val="auto"/>
                <w:szCs w:val="21"/>
              </w:rPr>
              <w:t>必须为</w:t>
            </w:r>
            <w:r>
              <w:rPr>
                <w:rFonts w:hint="eastAsia" w:ascii="宋体" w:hAnsi="宋体" w:eastAsia="宋体" w:cs="宋体"/>
                <w:color w:val="auto"/>
                <w:kern w:val="0"/>
                <w:sz w:val="21"/>
                <w:szCs w:val="21"/>
                <w:highlight w:val="none"/>
                <w:lang w:val="en-US" w:eastAsia="zh-CN"/>
              </w:rPr>
              <w:t>竞标人</w:t>
            </w:r>
            <w:r>
              <w:rPr>
                <w:rFonts w:hint="eastAsia" w:ascii="宋体" w:hAnsi="宋体" w:cs="宋体"/>
                <w:color w:val="auto"/>
                <w:szCs w:val="21"/>
              </w:rPr>
              <w:t>本单位在职人员，并具有注册岩土工程师证</w:t>
            </w:r>
          </w:p>
          <w:p w14:paraId="56786862">
            <w:pPr>
              <w:spacing w:line="360" w:lineRule="auto"/>
              <w:ind w:firstLine="420" w:firstLineChars="20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lang w:eastAsia="zh-CN"/>
              </w:rPr>
              <w:t>、参加采购活动前三年内，在经营活动中没有重大违法记录和不良信用记录，被列入失信被执行人、重大税收违法案件当事人名单、政府采购严重违法失信行为记录名单及其他不符合《中华人民共和国政府采购法》第二十二条规定条件的供应商，将被拒绝其参与本次采购活动；</w:t>
            </w:r>
          </w:p>
          <w:p w14:paraId="58F3EEBC">
            <w:p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bidi="ar-SA"/>
              </w:rPr>
              <w:t>6、单位负责人为同一人或者存在控股、管理关系的不同单位，不得同时参加本项目的投标（提供供应商的“全国企业信用信息公示系统”中公示的公司信息、股东或投资人信息）。</w:t>
            </w:r>
          </w:p>
          <w:p w14:paraId="6B35196C">
            <w:pPr>
              <w:spacing w:line="360" w:lineRule="auto"/>
              <w:ind w:firstLine="42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7、</w:t>
            </w:r>
            <w:r>
              <w:rPr>
                <w:rFonts w:hint="eastAsia" w:asciiTheme="minorEastAsia" w:hAnsiTheme="minorEastAsia" w:eastAsiaTheme="minorEastAsia" w:cstheme="minorEastAsia"/>
                <w:color w:val="auto"/>
                <w:sz w:val="21"/>
                <w:szCs w:val="21"/>
                <w:highlight w:val="none"/>
                <w:lang w:eastAsia="zh-CN"/>
              </w:rPr>
              <w:t>本项目不接受联合体</w:t>
            </w:r>
            <w:r>
              <w:rPr>
                <w:rFonts w:hint="eastAsia" w:ascii="宋体" w:hAnsi="宋体" w:eastAsia="宋体" w:cs="宋体"/>
                <w:color w:val="auto"/>
                <w:kern w:val="0"/>
                <w:sz w:val="21"/>
                <w:szCs w:val="21"/>
                <w:highlight w:val="none"/>
                <w:lang w:val="en-US" w:eastAsia="zh-CN"/>
              </w:rPr>
              <w:t>竞标</w:t>
            </w:r>
            <w:r>
              <w:rPr>
                <w:rFonts w:hint="eastAsia" w:asciiTheme="minorEastAsia" w:hAnsiTheme="minorEastAsia" w:eastAsiaTheme="minorEastAsia" w:cstheme="minorEastAsia"/>
                <w:color w:val="auto"/>
                <w:sz w:val="21"/>
                <w:szCs w:val="21"/>
                <w:highlight w:val="none"/>
                <w:lang w:eastAsia="zh-CN"/>
              </w:rPr>
              <w:t>。</w:t>
            </w:r>
          </w:p>
          <w:p w14:paraId="6D73F129">
            <w:pPr>
              <w:spacing w:line="360" w:lineRule="auto"/>
              <w:rPr>
                <w:rFonts w:hint="eastAsia" w:asciiTheme="minorEastAsia" w:hAnsiTheme="minorEastAsia" w:eastAsiaTheme="minorEastAsia" w:cstheme="minorEastAsia"/>
                <w:color w:val="auto"/>
                <w:sz w:val="21"/>
                <w:szCs w:val="21"/>
                <w:highlight w:val="none"/>
                <w:lang w:eastAsia="zh-CN"/>
              </w:rPr>
            </w:pPr>
          </w:p>
        </w:tc>
      </w:tr>
      <w:tr w14:paraId="18EE0C97">
        <w:tblPrEx>
          <w:tblCellMar>
            <w:top w:w="113" w:type="dxa"/>
            <w:left w:w="113" w:type="dxa"/>
            <w:bottom w:w="57" w:type="dxa"/>
            <w:right w:w="113" w:type="dxa"/>
          </w:tblCellMar>
        </w:tblPrEx>
        <w:trPr>
          <w:trHeight w:val="740" w:hRule="atLeast"/>
        </w:trPr>
        <w:tc>
          <w:tcPr>
            <w:tcW w:w="875" w:type="dxa"/>
            <w:tcBorders>
              <w:top w:val="single" w:color="000000" w:sz="4" w:space="0"/>
              <w:left w:val="single" w:color="000000" w:sz="4" w:space="0"/>
              <w:bottom w:val="single" w:color="000000" w:sz="4" w:space="0"/>
              <w:right w:val="single" w:color="000000" w:sz="4" w:space="0"/>
            </w:tcBorders>
            <w:vAlign w:val="center"/>
          </w:tcPr>
          <w:p w14:paraId="44F360E0">
            <w:pPr>
              <w:pStyle w:val="36"/>
              <w:spacing w:line="36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8</w:t>
            </w:r>
          </w:p>
        </w:tc>
        <w:tc>
          <w:tcPr>
            <w:tcW w:w="2157" w:type="dxa"/>
            <w:tcBorders>
              <w:top w:val="single" w:color="000000" w:sz="4" w:space="0"/>
              <w:left w:val="single" w:color="000000" w:sz="4" w:space="0"/>
              <w:bottom w:val="single" w:color="000000" w:sz="4" w:space="0"/>
              <w:right w:val="single" w:color="000000" w:sz="4" w:space="0"/>
            </w:tcBorders>
            <w:vAlign w:val="center"/>
          </w:tcPr>
          <w:p w14:paraId="47BAFE3C">
            <w:pPr>
              <w:pStyle w:val="36"/>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是否接受联合体投标</w:t>
            </w:r>
          </w:p>
        </w:tc>
        <w:tc>
          <w:tcPr>
            <w:tcW w:w="5667" w:type="dxa"/>
            <w:tcBorders>
              <w:top w:val="single" w:color="000000" w:sz="4" w:space="0"/>
              <w:left w:val="single" w:color="000000" w:sz="4" w:space="0"/>
              <w:bottom w:val="single" w:color="000000" w:sz="4" w:space="0"/>
              <w:right w:val="single" w:color="000000" w:sz="4" w:space="0"/>
            </w:tcBorders>
            <w:vAlign w:val="center"/>
          </w:tcPr>
          <w:p w14:paraId="2C576342">
            <w:pPr>
              <w:pStyle w:val="36"/>
              <w:spacing w:line="360" w:lineRule="auto"/>
              <w:ind w:left="110" w:leftChars="5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不接受</w:t>
            </w:r>
          </w:p>
        </w:tc>
      </w:tr>
      <w:tr w14:paraId="07D61AB7">
        <w:tblPrEx>
          <w:tblCellMar>
            <w:top w:w="113" w:type="dxa"/>
            <w:left w:w="113" w:type="dxa"/>
            <w:bottom w:w="57" w:type="dxa"/>
            <w:right w:w="113" w:type="dxa"/>
          </w:tblCellMar>
        </w:tblPrEx>
        <w:trPr>
          <w:trHeight w:val="740" w:hRule="atLeast"/>
        </w:trPr>
        <w:tc>
          <w:tcPr>
            <w:tcW w:w="875" w:type="dxa"/>
            <w:tcBorders>
              <w:top w:val="single" w:color="000000" w:sz="4" w:space="0"/>
              <w:left w:val="single" w:color="000000" w:sz="4" w:space="0"/>
              <w:bottom w:val="single" w:color="000000" w:sz="4" w:space="0"/>
              <w:right w:val="single" w:color="000000" w:sz="4" w:space="0"/>
            </w:tcBorders>
            <w:vAlign w:val="center"/>
          </w:tcPr>
          <w:p w14:paraId="7E8D678F">
            <w:pPr>
              <w:pStyle w:val="36"/>
              <w:spacing w:line="36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9</w:t>
            </w:r>
          </w:p>
        </w:tc>
        <w:tc>
          <w:tcPr>
            <w:tcW w:w="2157" w:type="dxa"/>
            <w:tcBorders>
              <w:top w:val="single" w:color="000000" w:sz="4" w:space="0"/>
              <w:left w:val="single" w:color="000000" w:sz="4" w:space="0"/>
              <w:bottom w:val="single" w:color="000000" w:sz="4" w:space="0"/>
              <w:right w:val="single" w:color="000000" w:sz="4" w:space="0"/>
            </w:tcBorders>
            <w:vAlign w:val="center"/>
          </w:tcPr>
          <w:p w14:paraId="3E61DECC">
            <w:pPr>
              <w:pStyle w:val="36"/>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踏勘现场</w:t>
            </w:r>
          </w:p>
        </w:tc>
        <w:tc>
          <w:tcPr>
            <w:tcW w:w="5667" w:type="dxa"/>
            <w:tcBorders>
              <w:top w:val="single" w:color="000000" w:sz="4" w:space="0"/>
              <w:left w:val="single" w:color="000000" w:sz="4" w:space="0"/>
              <w:bottom w:val="single" w:color="000000" w:sz="4" w:space="0"/>
              <w:right w:val="single" w:color="000000" w:sz="4" w:space="0"/>
            </w:tcBorders>
            <w:vAlign w:val="center"/>
          </w:tcPr>
          <w:p w14:paraId="6E7AD2F1">
            <w:pPr>
              <w:pStyle w:val="36"/>
              <w:spacing w:line="360" w:lineRule="auto"/>
              <w:ind w:left="110" w:leftChars="5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不组织，自行踏勘</w:t>
            </w:r>
          </w:p>
        </w:tc>
      </w:tr>
      <w:tr w14:paraId="6E50F6E9">
        <w:tblPrEx>
          <w:tblCellMar>
            <w:top w:w="113" w:type="dxa"/>
            <w:left w:w="113" w:type="dxa"/>
            <w:bottom w:w="57" w:type="dxa"/>
            <w:right w:w="113" w:type="dxa"/>
          </w:tblCellMar>
        </w:tblPrEx>
        <w:trPr>
          <w:trHeight w:val="1255" w:hRule="atLeast"/>
        </w:trPr>
        <w:tc>
          <w:tcPr>
            <w:tcW w:w="875" w:type="dxa"/>
            <w:tcBorders>
              <w:top w:val="single" w:color="000000" w:sz="4" w:space="0"/>
              <w:left w:val="single" w:color="000000" w:sz="4" w:space="0"/>
              <w:bottom w:val="single" w:color="000000" w:sz="4" w:space="0"/>
              <w:right w:val="single" w:color="000000" w:sz="4" w:space="0"/>
            </w:tcBorders>
            <w:vAlign w:val="center"/>
          </w:tcPr>
          <w:p w14:paraId="265C566A">
            <w:pPr>
              <w:pStyle w:val="36"/>
              <w:spacing w:line="36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10</w:t>
            </w:r>
          </w:p>
        </w:tc>
        <w:tc>
          <w:tcPr>
            <w:tcW w:w="2157" w:type="dxa"/>
            <w:tcBorders>
              <w:top w:val="single" w:color="000000" w:sz="4" w:space="0"/>
              <w:left w:val="single" w:color="000000" w:sz="4" w:space="0"/>
              <w:bottom w:val="single" w:color="000000" w:sz="4" w:space="0"/>
              <w:right w:val="single" w:color="000000" w:sz="4" w:space="0"/>
            </w:tcBorders>
            <w:vAlign w:val="center"/>
          </w:tcPr>
          <w:p w14:paraId="74A59810">
            <w:pPr>
              <w:pStyle w:val="36"/>
              <w:spacing w:line="36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预算总金额</w:t>
            </w:r>
          </w:p>
          <w:p w14:paraId="629D5FA5">
            <w:pPr>
              <w:pStyle w:val="36"/>
              <w:spacing w:line="36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（最高限价）</w:t>
            </w:r>
          </w:p>
        </w:tc>
        <w:tc>
          <w:tcPr>
            <w:tcW w:w="5667" w:type="dxa"/>
            <w:tcBorders>
              <w:top w:val="single" w:color="000000" w:sz="4" w:space="0"/>
              <w:left w:val="single" w:color="000000" w:sz="4" w:space="0"/>
              <w:bottom w:val="single" w:color="000000" w:sz="4" w:space="0"/>
              <w:right w:val="single" w:color="000000" w:sz="4" w:space="0"/>
            </w:tcBorders>
            <w:vAlign w:val="center"/>
          </w:tcPr>
          <w:p w14:paraId="75F9EB94">
            <w:pPr>
              <w:pStyle w:val="36"/>
              <w:spacing w:line="360" w:lineRule="auto"/>
              <w:ind w:left="110" w:leftChars="5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33600.00元</w:t>
            </w:r>
          </w:p>
        </w:tc>
      </w:tr>
      <w:tr w14:paraId="17DA9E3A">
        <w:tblPrEx>
          <w:tblCellMar>
            <w:top w:w="113" w:type="dxa"/>
            <w:left w:w="113" w:type="dxa"/>
            <w:bottom w:w="57" w:type="dxa"/>
            <w:right w:w="113" w:type="dxa"/>
          </w:tblCellMar>
        </w:tblPrEx>
        <w:trPr>
          <w:trHeight w:val="90" w:hRule="atLeast"/>
        </w:trPr>
        <w:tc>
          <w:tcPr>
            <w:tcW w:w="875" w:type="dxa"/>
            <w:tcBorders>
              <w:top w:val="single" w:color="000000" w:sz="4" w:space="0"/>
              <w:left w:val="single" w:color="000000" w:sz="4" w:space="0"/>
              <w:bottom w:val="single" w:color="000000" w:sz="4" w:space="0"/>
              <w:right w:val="single" w:color="000000" w:sz="4" w:space="0"/>
            </w:tcBorders>
            <w:vAlign w:val="center"/>
          </w:tcPr>
          <w:p w14:paraId="476872DD">
            <w:pPr>
              <w:pStyle w:val="36"/>
              <w:spacing w:line="36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11</w:t>
            </w:r>
          </w:p>
        </w:tc>
        <w:tc>
          <w:tcPr>
            <w:tcW w:w="2157" w:type="dxa"/>
            <w:tcBorders>
              <w:top w:val="single" w:color="000000" w:sz="4" w:space="0"/>
              <w:left w:val="single" w:color="000000" w:sz="4" w:space="0"/>
              <w:bottom w:val="single" w:color="000000" w:sz="4" w:space="0"/>
              <w:right w:val="single" w:color="000000" w:sz="4" w:space="0"/>
            </w:tcBorders>
            <w:vAlign w:val="center"/>
          </w:tcPr>
          <w:p w14:paraId="323164D2">
            <w:pPr>
              <w:pStyle w:val="36"/>
              <w:spacing w:line="36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响应文件报价及费用</w:t>
            </w:r>
          </w:p>
        </w:tc>
        <w:tc>
          <w:tcPr>
            <w:tcW w:w="5667" w:type="dxa"/>
            <w:tcBorders>
              <w:top w:val="single" w:color="000000" w:sz="4" w:space="0"/>
              <w:left w:val="single" w:color="000000" w:sz="4" w:space="0"/>
              <w:bottom w:val="single" w:color="000000" w:sz="4" w:space="0"/>
              <w:right w:val="single" w:color="000000" w:sz="4" w:space="0"/>
            </w:tcBorders>
            <w:vAlign w:val="center"/>
          </w:tcPr>
          <w:p w14:paraId="6FE84805">
            <w:pPr>
              <w:pStyle w:val="36"/>
              <w:numPr>
                <w:ilvl w:val="0"/>
                <w:numId w:val="1"/>
              </w:numPr>
              <w:spacing w:line="360" w:lineRule="auto"/>
              <w:ind w:left="110" w:leftChars="5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本项目竞标应以人民币报价；</w:t>
            </w:r>
          </w:p>
          <w:p w14:paraId="1F103A87">
            <w:pPr>
              <w:pStyle w:val="36"/>
              <w:numPr>
                <w:ilvl w:val="0"/>
                <w:numId w:val="1"/>
              </w:numPr>
              <w:spacing w:line="360" w:lineRule="auto"/>
              <w:ind w:left="110" w:leftChars="5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不论竞标结果如何，供应商均应自行承担所有与竞标有关的全部费用；3、对于本磋商采购文件中未列明，而供应商认为必需的费用也需考虑到报价中。在合同实施时，采购人将不予支付成交供应商没有列入的项目费用，并认为此项目的费用已包括在报价中。</w:t>
            </w:r>
          </w:p>
        </w:tc>
      </w:tr>
      <w:tr w14:paraId="3FB0211E">
        <w:tblPrEx>
          <w:tblCellMar>
            <w:top w:w="113" w:type="dxa"/>
            <w:left w:w="113" w:type="dxa"/>
            <w:bottom w:w="57" w:type="dxa"/>
            <w:right w:w="113" w:type="dxa"/>
          </w:tblCellMar>
        </w:tblPrEx>
        <w:trPr>
          <w:trHeight w:val="764" w:hRule="atLeast"/>
        </w:trPr>
        <w:tc>
          <w:tcPr>
            <w:tcW w:w="875" w:type="dxa"/>
            <w:tcBorders>
              <w:top w:val="single" w:color="000000" w:sz="4" w:space="0"/>
              <w:left w:val="single" w:color="000000" w:sz="4" w:space="0"/>
              <w:bottom w:val="single" w:color="000000" w:sz="4" w:space="0"/>
              <w:right w:val="single" w:color="000000" w:sz="4" w:space="0"/>
            </w:tcBorders>
            <w:vAlign w:val="center"/>
          </w:tcPr>
          <w:p w14:paraId="116FDE61">
            <w:pPr>
              <w:pStyle w:val="36"/>
              <w:spacing w:line="36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12</w:t>
            </w:r>
          </w:p>
        </w:tc>
        <w:tc>
          <w:tcPr>
            <w:tcW w:w="2157" w:type="dxa"/>
            <w:tcBorders>
              <w:top w:val="single" w:color="000000" w:sz="4" w:space="0"/>
              <w:left w:val="single" w:color="000000" w:sz="4" w:space="0"/>
              <w:bottom w:val="single" w:color="000000" w:sz="4" w:space="0"/>
              <w:right w:val="single" w:color="000000" w:sz="4" w:space="0"/>
            </w:tcBorders>
            <w:vAlign w:val="center"/>
          </w:tcPr>
          <w:p w14:paraId="75744F02">
            <w:pPr>
              <w:pStyle w:val="36"/>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竞标</w:t>
            </w:r>
            <w:r>
              <w:rPr>
                <w:rFonts w:hint="eastAsia" w:asciiTheme="minorEastAsia" w:hAnsiTheme="minorEastAsia" w:eastAsiaTheme="minorEastAsia" w:cstheme="minorEastAsia"/>
                <w:color w:val="auto"/>
                <w:sz w:val="21"/>
                <w:szCs w:val="21"/>
                <w:highlight w:val="none"/>
              </w:rPr>
              <w:t>保证金</w:t>
            </w:r>
          </w:p>
        </w:tc>
        <w:tc>
          <w:tcPr>
            <w:tcW w:w="5667" w:type="dxa"/>
            <w:tcBorders>
              <w:top w:val="single" w:color="000000" w:sz="4" w:space="0"/>
              <w:left w:val="single" w:color="000000" w:sz="4" w:space="0"/>
              <w:bottom w:val="single" w:color="000000" w:sz="4" w:space="0"/>
              <w:right w:val="single" w:color="000000" w:sz="4" w:space="0"/>
            </w:tcBorders>
            <w:vAlign w:val="center"/>
          </w:tcPr>
          <w:p w14:paraId="14562428">
            <w:pPr>
              <w:pStyle w:val="36"/>
              <w:spacing w:line="360" w:lineRule="auto"/>
              <w:ind w:left="110" w:leftChars="50"/>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无</w:t>
            </w:r>
          </w:p>
        </w:tc>
      </w:tr>
      <w:tr w14:paraId="063C7766">
        <w:tblPrEx>
          <w:tblCellMar>
            <w:top w:w="113" w:type="dxa"/>
            <w:left w:w="113" w:type="dxa"/>
            <w:bottom w:w="57" w:type="dxa"/>
            <w:right w:w="113" w:type="dxa"/>
          </w:tblCellMar>
        </w:tblPrEx>
        <w:trPr>
          <w:trHeight w:val="1255" w:hRule="atLeast"/>
        </w:trPr>
        <w:tc>
          <w:tcPr>
            <w:tcW w:w="875" w:type="dxa"/>
            <w:tcBorders>
              <w:top w:val="single" w:color="000000" w:sz="4" w:space="0"/>
              <w:left w:val="single" w:color="000000" w:sz="4" w:space="0"/>
              <w:bottom w:val="single" w:color="000000" w:sz="4" w:space="0"/>
              <w:right w:val="single" w:color="000000" w:sz="4" w:space="0"/>
            </w:tcBorders>
            <w:vAlign w:val="center"/>
          </w:tcPr>
          <w:p w14:paraId="0972DF1B">
            <w:pPr>
              <w:pStyle w:val="36"/>
              <w:spacing w:line="36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13</w:t>
            </w:r>
          </w:p>
        </w:tc>
        <w:tc>
          <w:tcPr>
            <w:tcW w:w="2157" w:type="dxa"/>
            <w:tcBorders>
              <w:top w:val="single" w:color="000000" w:sz="4" w:space="0"/>
              <w:left w:val="single" w:color="000000" w:sz="4" w:space="0"/>
              <w:bottom w:val="single" w:color="000000" w:sz="4" w:space="0"/>
              <w:right w:val="single" w:color="000000" w:sz="4" w:space="0"/>
            </w:tcBorders>
            <w:vAlign w:val="center"/>
          </w:tcPr>
          <w:p w14:paraId="345CE5A5">
            <w:pPr>
              <w:pStyle w:val="36"/>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磋商有效期</w:t>
            </w:r>
          </w:p>
        </w:tc>
        <w:tc>
          <w:tcPr>
            <w:tcW w:w="5667" w:type="dxa"/>
            <w:tcBorders>
              <w:top w:val="single" w:color="000000" w:sz="4" w:space="0"/>
              <w:left w:val="single" w:color="000000" w:sz="4" w:space="0"/>
              <w:bottom w:val="single" w:color="000000" w:sz="4" w:space="0"/>
              <w:right w:val="single" w:color="000000" w:sz="4" w:space="0"/>
            </w:tcBorders>
            <w:vAlign w:val="center"/>
          </w:tcPr>
          <w:p w14:paraId="14A63FFC">
            <w:pPr>
              <w:pStyle w:val="36"/>
              <w:spacing w:line="360" w:lineRule="auto"/>
              <w:ind w:left="110" w:leftChars="5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自</w:t>
            </w:r>
            <w:r>
              <w:rPr>
                <w:rFonts w:hint="eastAsia" w:asciiTheme="minorEastAsia" w:hAnsiTheme="minorEastAsia" w:eastAsiaTheme="minorEastAsia" w:cstheme="minorEastAsia"/>
                <w:color w:val="auto"/>
                <w:sz w:val="21"/>
                <w:szCs w:val="21"/>
                <w:highlight w:val="none"/>
                <w:lang w:val="en-US" w:eastAsia="zh-CN"/>
              </w:rPr>
              <w:t>首次</w:t>
            </w:r>
            <w:r>
              <w:rPr>
                <w:rFonts w:hint="eastAsia" w:asciiTheme="minorEastAsia" w:hAnsiTheme="minorEastAsia" w:eastAsiaTheme="minorEastAsia" w:cstheme="minorEastAsia"/>
                <w:color w:val="auto"/>
                <w:sz w:val="21"/>
                <w:szCs w:val="21"/>
                <w:highlight w:val="none"/>
                <w:lang w:eastAsia="zh-CN"/>
              </w:rPr>
              <w:t>递交响应文件截止时间起生效，其有效期为60天(日</w:t>
            </w:r>
            <w:r>
              <w:rPr>
                <w:rFonts w:hint="eastAsia" w:asciiTheme="minorEastAsia" w:hAnsiTheme="minorEastAsia" w:eastAsiaTheme="minorEastAsia" w:cstheme="minorEastAsia"/>
                <w:color w:val="auto"/>
                <w:sz w:val="21"/>
                <w:szCs w:val="21"/>
                <w:highlight w:val="none"/>
                <w:lang w:val="en-US" w:eastAsia="zh-CN"/>
              </w:rPr>
              <w:t>历</w:t>
            </w:r>
            <w:r>
              <w:rPr>
                <w:rFonts w:hint="eastAsia" w:asciiTheme="minorEastAsia" w:hAnsiTheme="minorEastAsia" w:eastAsiaTheme="minorEastAsia" w:cstheme="minorEastAsia"/>
                <w:color w:val="auto"/>
                <w:sz w:val="21"/>
                <w:szCs w:val="21"/>
                <w:highlight w:val="none"/>
                <w:lang w:eastAsia="zh-CN"/>
              </w:rPr>
              <w:t>天)。</w:t>
            </w:r>
          </w:p>
        </w:tc>
      </w:tr>
      <w:tr w14:paraId="62E54F4B">
        <w:tblPrEx>
          <w:tblCellMar>
            <w:top w:w="113" w:type="dxa"/>
            <w:left w:w="113" w:type="dxa"/>
            <w:bottom w:w="57" w:type="dxa"/>
            <w:right w:w="113" w:type="dxa"/>
          </w:tblCellMar>
        </w:tblPrEx>
        <w:trPr>
          <w:trHeight w:val="1255" w:hRule="atLeast"/>
        </w:trPr>
        <w:tc>
          <w:tcPr>
            <w:tcW w:w="875" w:type="dxa"/>
            <w:tcBorders>
              <w:top w:val="single" w:color="000000" w:sz="4" w:space="0"/>
              <w:left w:val="single" w:color="000000" w:sz="4" w:space="0"/>
              <w:bottom w:val="single" w:color="000000" w:sz="4" w:space="0"/>
              <w:right w:val="single" w:color="000000" w:sz="4" w:space="0"/>
            </w:tcBorders>
            <w:vAlign w:val="center"/>
          </w:tcPr>
          <w:p w14:paraId="32694D34">
            <w:pPr>
              <w:pStyle w:val="36"/>
              <w:spacing w:line="36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14</w:t>
            </w:r>
          </w:p>
        </w:tc>
        <w:tc>
          <w:tcPr>
            <w:tcW w:w="2157" w:type="dxa"/>
            <w:tcBorders>
              <w:top w:val="single" w:color="000000" w:sz="4" w:space="0"/>
              <w:left w:val="single" w:color="000000" w:sz="4" w:space="0"/>
              <w:bottom w:val="single" w:color="000000" w:sz="4" w:space="0"/>
              <w:right w:val="single" w:color="000000" w:sz="4" w:space="0"/>
            </w:tcBorders>
            <w:vAlign w:val="center"/>
          </w:tcPr>
          <w:p w14:paraId="29010229">
            <w:pPr>
              <w:pStyle w:val="36"/>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签字或盖章要求</w:t>
            </w:r>
          </w:p>
        </w:tc>
        <w:tc>
          <w:tcPr>
            <w:tcW w:w="5667" w:type="dxa"/>
            <w:tcBorders>
              <w:top w:val="single" w:color="000000" w:sz="4" w:space="0"/>
              <w:left w:val="single" w:color="000000" w:sz="4" w:space="0"/>
              <w:bottom w:val="single" w:color="000000" w:sz="4" w:space="0"/>
              <w:right w:val="single" w:color="000000" w:sz="4" w:space="0"/>
            </w:tcBorders>
            <w:vAlign w:val="center"/>
          </w:tcPr>
          <w:p w14:paraId="3EA2A04E">
            <w:pPr>
              <w:pStyle w:val="36"/>
              <w:spacing w:line="360" w:lineRule="auto"/>
              <w:ind w:left="110" w:leftChars="5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响应性文件正本和副本均应用不褪色的材料书写或打印，并按竞争性磋商文件要求签字盖章。</w:t>
            </w:r>
          </w:p>
        </w:tc>
      </w:tr>
      <w:tr w14:paraId="333D6F90">
        <w:tblPrEx>
          <w:tblCellMar>
            <w:top w:w="113" w:type="dxa"/>
            <w:left w:w="113" w:type="dxa"/>
            <w:bottom w:w="57" w:type="dxa"/>
            <w:right w:w="113" w:type="dxa"/>
          </w:tblCellMar>
        </w:tblPrEx>
        <w:trPr>
          <w:trHeight w:val="1255" w:hRule="atLeast"/>
        </w:trPr>
        <w:tc>
          <w:tcPr>
            <w:tcW w:w="875" w:type="dxa"/>
            <w:tcBorders>
              <w:top w:val="single" w:color="000000" w:sz="4" w:space="0"/>
              <w:left w:val="single" w:color="000000" w:sz="4" w:space="0"/>
              <w:bottom w:val="single" w:color="000000" w:sz="4" w:space="0"/>
              <w:right w:val="single" w:color="000000" w:sz="4" w:space="0"/>
            </w:tcBorders>
            <w:vAlign w:val="center"/>
          </w:tcPr>
          <w:p w14:paraId="328CF0F9">
            <w:pPr>
              <w:pStyle w:val="36"/>
              <w:spacing w:line="36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15</w:t>
            </w:r>
          </w:p>
        </w:tc>
        <w:tc>
          <w:tcPr>
            <w:tcW w:w="2157" w:type="dxa"/>
            <w:tcBorders>
              <w:top w:val="single" w:color="000000" w:sz="4" w:space="0"/>
              <w:left w:val="single" w:color="000000" w:sz="4" w:space="0"/>
              <w:bottom w:val="single" w:color="000000" w:sz="4" w:space="0"/>
              <w:right w:val="single" w:color="000000" w:sz="4" w:space="0"/>
            </w:tcBorders>
            <w:vAlign w:val="center"/>
          </w:tcPr>
          <w:p w14:paraId="46E55B7F">
            <w:pPr>
              <w:pStyle w:val="36"/>
              <w:spacing w:line="36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响应性文件正、副本</w:t>
            </w:r>
          </w:p>
          <w:p w14:paraId="16EFFB48">
            <w:pPr>
              <w:pStyle w:val="36"/>
              <w:spacing w:line="36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份数</w:t>
            </w:r>
          </w:p>
        </w:tc>
        <w:tc>
          <w:tcPr>
            <w:tcW w:w="5667" w:type="dxa"/>
            <w:tcBorders>
              <w:top w:val="single" w:color="000000" w:sz="4" w:space="0"/>
              <w:left w:val="single" w:color="000000" w:sz="4" w:space="0"/>
              <w:bottom w:val="single" w:color="000000" w:sz="4" w:space="0"/>
              <w:right w:val="single" w:color="000000" w:sz="4" w:space="0"/>
            </w:tcBorders>
            <w:vAlign w:val="center"/>
          </w:tcPr>
          <w:p w14:paraId="08F52033">
            <w:pPr>
              <w:pStyle w:val="36"/>
              <w:spacing w:line="360" w:lineRule="auto"/>
              <w:ind w:left="110" w:leftChars="5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正本壹份、副本贰份、电子文档壹份（U盘）</w:t>
            </w:r>
          </w:p>
        </w:tc>
      </w:tr>
      <w:tr w14:paraId="19046357">
        <w:tblPrEx>
          <w:tblCellMar>
            <w:top w:w="113" w:type="dxa"/>
            <w:left w:w="113" w:type="dxa"/>
            <w:bottom w:w="57" w:type="dxa"/>
            <w:right w:w="113" w:type="dxa"/>
          </w:tblCellMar>
        </w:tblPrEx>
        <w:trPr>
          <w:trHeight w:val="1112" w:hRule="exact"/>
        </w:trPr>
        <w:tc>
          <w:tcPr>
            <w:tcW w:w="875" w:type="dxa"/>
            <w:tcBorders>
              <w:top w:val="single" w:color="000000" w:sz="4" w:space="0"/>
              <w:left w:val="single" w:color="000000" w:sz="4" w:space="0"/>
              <w:bottom w:val="single" w:color="000000" w:sz="4" w:space="0"/>
              <w:right w:val="single" w:color="000000" w:sz="4" w:space="0"/>
            </w:tcBorders>
            <w:vAlign w:val="center"/>
          </w:tcPr>
          <w:p w14:paraId="23E7A288">
            <w:pPr>
              <w:pStyle w:val="36"/>
              <w:spacing w:line="36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highlight w:val="none"/>
                <w:lang w:val="en-US" w:eastAsia="zh-CN"/>
              </w:rPr>
              <w:t>16</w:t>
            </w:r>
          </w:p>
        </w:tc>
        <w:tc>
          <w:tcPr>
            <w:tcW w:w="2157" w:type="dxa"/>
            <w:tcBorders>
              <w:top w:val="single" w:color="000000" w:sz="4" w:space="0"/>
              <w:left w:val="single" w:color="000000" w:sz="4" w:space="0"/>
              <w:bottom w:val="single" w:color="000000" w:sz="4" w:space="0"/>
              <w:right w:val="single" w:color="000000" w:sz="4" w:space="0"/>
            </w:tcBorders>
            <w:vAlign w:val="center"/>
          </w:tcPr>
          <w:p w14:paraId="5506E182">
            <w:pPr>
              <w:pStyle w:val="36"/>
              <w:spacing w:line="36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响应性文件的装订要</w:t>
            </w:r>
          </w:p>
          <w:p w14:paraId="39949F49">
            <w:pPr>
              <w:pStyle w:val="36"/>
              <w:spacing w:line="36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求</w:t>
            </w:r>
          </w:p>
        </w:tc>
        <w:tc>
          <w:tcPr>
            <w:tcW w:w="5667" w:type="dxa"/>
            <w:tcBorders>
              <w:top w:val="single" w:color="000000" w:sz="4" w:space="0"/>
              <w:left w:val="single" w:color="000000" w:sz="4" w:space="0"/>
              <w:bottom w:val="single" w:color="000000" w:sz="4" w:space="0"/>
              <w:right w:val="single" w:color="000000" w:sz="4" w:space="0"/>
            </w:tcBorders>
          </w:tcPr>
          <w:p w14:paraId="360302AF">
            <w:pPr>
              <w:pStyle w:val="36"/>
              <w:spacing w:line="360" w:lineRule="auto"/>
              <w:ind w:left="110" w:leftChars="5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响应性文件分正本和副本。正本和副本应分别胶装成册，并编制目录，不得采用活页夹等可随时拆换的方式装订。</w:t>
            </w:r>
          </w:p>
        </w:tc>
      </w:tr>
      <w:tr w14:paraId="7B60822E">
        <w:tblPrEx>
          <w:tblCellMar>
            <w:top w:w="113" w:type="dxa"/>
            <w:left w:w="113" w:type="dxa"/>
            <w:bottom w:w="57" w:type="dxa"/>
            <w:right w:w="113" w:type="dxa"/>
          </w:tblCellMar>
        </w:tblPrEx>
        <w:trPr>
          <w:trHeight w:val="2195" w:hRule="exact"/>
        </w:trPr>
        <w:tc>
          <w:tcPr>
            <w:tcW w:w="875" w:type="dxa"/>
            <w:tcBorders>
              <w:top w:val="single" w:color="000000" w:sz="4" w:space="0"/>
              <w:left w:val="single" w:color="000000" w:sz="4" w:space="0"/>
              <w:bottom w:val="single" w:color="000000" w:sz="4" w:space="0"/>
              <w:right w:val="single" w:color="000000" w:sz="4" w:space="0"/>
            </w:tcBorders>
            <w:vAlign w:val="center"/>
          </w:tcPr>
          <w:p w14:paraId="1381FDEC">
            <w:pPr>
              <w:pStyle w:val="36"/>
              <w:spacing w:line="36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highlight w:val="none"/>
                <w:lang w:val="en-US" w:eastAsia="zh-CN"/>
              </w:rPr>
              <w:t>17</w:t>
            </w:r>
          </w:p>
        </w:tc>
        <w:tc>
          <w:tcPr>
            <w:tcW w:w="2157" w:type="dxa"/>
            <w:tcBorders>
              <w:top w:val="single" w:color="000000" w:sz="4" w:space="0"/>
              <w:left w:val="single" w:color="000000" w:sz="4" w:space="0"/>
              <w:bottom w:val="single" w:color="000000" w:sz="4" w:space="0"/>
              <w:right w:val="single" w:color="000000" w:sz="4" w:space="0"/>
            </w:tcBorders>
            <w:vAlign w:val="center"/>
          </w:tcPr>
          <w:p w14:paraId="6E6298A7">
            <w:pPr>
              <w:pStyle w:val="36"/>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封套上写明</w:t>
            </w:r>
          </w:p>
        </w:tc>
        <w:tc>
          <w:tcPr>
            <w:tcW w:w="5667" w:type="dxa"/>
            <w:tcBorders>
              <w:top w:val="single" w:color="000000" w:sz="4" w:space="0"/>
              <w:left w:val="single" w:color="000000" w:sz="4" w:space="0"/>
              <w:bottom w:val="single" w:color="000000" w:sz="4" w:space="0"/>
              <w:right w:val="single" w:color="000000" w:sz="4" w:space="0"/>
            </w:tcBorders>
          </w:tcPr>
          <w:p w14:paraId="15A8C9DD">
            <w:pPr>
              <w:pStyle w:val="36"/>
              <w:spacing w:line="360" w:lineRule="auto"/>
              <w:ind w:left="110" w:leftChars="5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正本/副本/电子版</w:t>
            </w:r>
          </w:p>
          <w:p w14:paraId="3E5FDAAF">
            <w:pPr>
              <w:pStyle w:val="36"/>
              <w:spacing w:line="360" w:lineRule="auto"/>
              <w:ind w:left="110" w:leftChars="5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供应商名称：地址：</w:t>
            </w:r>
          </w:p>
          <w:p w14:paraId="481B9ABF">
            <w:pPr>
              <w:pStyle w:val="36"/>
              <w:tabs>
                <w:tab w:val="left" w:pos="3357"/>
              </w:tabs>
              <w:spacing w:line="360" w:lineRule="auto"/>
              <w:ind w:left="110" w:leftChars="5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（项目名称）</w:t>
            </w:r>
            <w:r>
              <w:rPr>
                <w:rFonts w:hint="eastAsia" w:asciiTheme="minorEastAsia" w:hAnsiTheme="minorEastAsia" w:eastAsiaTheme="minorEastAsia" w:cstheme="minorEastAsia"/>
                <w:color w:val="auto"/>
                <w:w w:val="95"/>
                <w:sz w:val="21"/>
                <w:szCs w:val="21"/>
                <w:highlight w:val="none"/>
                <w:lang w:eastAsia="zh-CN"/>
              </w:rPr>
              <w:tab/>
            </w:r>
            <w:r>
              <w:rPr>
                <w:rFonts w:hint="eastAsia" w:asciiTheme="minorEastAsia" w:hAnsiTheme="minorEastAsia" w:eastAsiaTheme="minorEastAsia" w:cstheme="minorEastAsia"/>
                <w:color w:val="auto"/>
                <w:sz w:val="21"/>
                <w:szCs w:val="21"/>
                <w:highlight w:val="none"/>
                <w:lang w:eastAsia="zh-CN"/>
              </w:rPr>
              <w:t>响应性文件</w:t>
            </w:r>
          </w:p>
          <w:p w14:paraId="67AB1E8A">
            <w:pPr>
              <w:pStyle w:val="36"/>
              <w:tabs>
                <w:tab w:val="left" w:pos="943"/>
                <w:tab w:val="left" w:pos="1571"/>
                <w:tab w:val="left" w:pos="2203"/>
                <w:tab w:val="left" w:pos="2831"/>
                <w:tab w:val="left" w:pos="3463"/>
              </w:tabs>
              <w:spacing w:line="360" w:lineRule="auto"/>
              <w:ind w:left="110" w:leftChars="5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在</w:t>
            </w:r>
            <w:r>
              <w:rPr>
                <w:rFonts w:hint="eastAsia" w:asciiTheme="minorEastAsia" w:hAnsiTheme="minorEastAsia" w:eastAsiaTheme="minorEastAsia" w:cstheme="minorEastAsia"/>
                <w:color w:val="auto"/>
                <w:sz w:val="21"/>
                <w:szCs w:val="21"/>
                <w:highlight w:val="none"/>
                <w:lang w:eastAsia="zh-CN"/>
              </w:rPr>
              <w:tab/>
            </w:r>
            <w:r>
              <w:rPr>
                <w:rFonts w:hint="eastAsia" w:asciiTheme="minorEastAsia" w:hAnsiTheme="minorEastAsia" w:eastAsiaTheme="minorEastAsia" w:cstheme="minorEastAsia"/>
                <w:color w:val="auto"/>
                <w:sz w:val="21"/>
                <w:szCs w:val="21"/>
                <w:highlight w:val="none"/>
                <w:lang w:eastAsia="zh-CN"/>
              </w:rPr>
              <w:t>年</w:t>
            </w:r>
            <w:r>
              <w:rPr>
                <w:rFonts w:hint="eastAsia" w:asciiTheme="minorEastAsia" w:hAnsiTheme="minorEastAsia" w:eastAsiaTheme="minorEastAsia" w:cstheme="minorEastAsia"/>
                <w:color w:val="auto"/>
                <w:sz w:val="21"/>
                <w:szCs w:val="21"/>
                <w:highlight w:val="none"/>
                <w:lang w:eastAsia="zh-CN"/>
              </w:rPr>
              <w:tab/>
            </w:r>
            <w:r>
              <w:rPr>
                <w:rFonts w:hint="eastAsia" w:asciiTheme="minorEastAsia" w:hAnsiTheme="minorEastAsia" w:eastAsiaTheme="minorEastAsia" w:cstheme="minorEastAsia"/>
                <w:color w:val="auto"/>
                <w:sz w:val="21"/>
                <w:szCs w:val="21"/>
                <w:highlight w:val="none"/>
                <w:lang w:eastAsia="zh-CN"/>
              </w:rPr>
              <w:t>月</w:t>
            </w:r>
            <w:r>
              <w:rPr>
                <w:rFonts w:hint="eastAsia" w:asciiTheme="minorEastAsia" w:hAnsiTheme="minorEastAsia" w:eastAsiaTheme="minorEastAsia" w:cstheme="minorEastAsia"/>
                <w:color w:val="auto"/>
                <w:sz w:val="21"/>
                <w:szCs w:val="21"/>
                <w:highlight w:val="none"/>
                <w:lang w:eastAsia="zh-CN"/>
              </w:rPr>
              <w:tab/>
            </w:r>
            <w:r>
              <w:rPr>
                <w:rFonts w:hint="eastAsia" w:asciiTheme="minorEastAsia" w:hAnsiTheme="minorEastAsia" w:eastAsiaTheme="minorEastAsia" w:cstheme="minorEastAsia"/>
                <w:color w:val="auto"/>
                <w:sz w:val="21"/>
                <w:szCs w:val="21"/>
                <w:highlight w:val="none"/>
                <w:lang w:eastAsia="zh-CN"/>
              </w:rPr>
              <w:t>日</w:t>
            </w:r>
            <w:r>
              <w:rPr>
                <w:rFonts w:hint="eastAsia" w:asciiTheme="minorEastAsia" w:hAnsiTheme="minorEastAsia" w:eastAsiaTheme="minorEastAsia" w:cstheme="minorEastAsia"/>
                <w:color w:val="auto"/>
                <w:sz w:val="21"/>
                <w:szCs w:val="21"/>
                <w:highlight w:val="none"/>
                <w:lang w:eastAsia="zh-CN"/>
              </w:rPr>
              <w:tab/>
            </w:r>
            <w:r>
              <w:rPr>
                <w:rFonts w:hint="eastAsia" w:asciiTheme="minorEastAsia" w:hAnsiTheme="minorEastAsia" w:eastAsiaTheme="minorEastAsia" w:cstheme="minorEastAsia"/>
                <w:color w:val="auto"/>
                <w:sz w:val="21"/>
                <w:szCs w:val="21"/>
                <w:highlight w:val="none"/>
                <w:lang w:eastAsia="zh-CN"/>
              </w:rPr>
              <w:t>时</w:t>
            </w:r>
            <w:r>
              <w:rPr>
                <w:rFonts w:hint="eastAsia" w:asciiTheme="minorEastAsia" w:hAnsiTheme="minorEastAsia" w:eastAsiaTheme="minorEastAsia" w:cstheme="minorEastAsia"/>
                <w:color w:val="auto"/>
                <w:sz w:val="21"/>
                <w:szCs w:val="21"/>
                <w:highlight w:val="none"/>
                <w:lang w:eastAsia="zh-CN"/>
              </w:rPr>
              <w:tab/>
            </w:r>
            <w:r>
              <w:rPr>
                <w:rFonts w:hint="eastAsia" w:asciiTheme="minorEastAsia" w:hAnsiTheme="minorEastAsia" w:eastAsiaTheme="minorEastAsia" w:cstheme="minorEastAsia"/>
                <w:color w:val="auto"/>
                <w:sz w:val="21"/>
                <w:szCs w:val="21"/>
                <w:highlight w:val="none"/>
                <w:lang w:eastAsia="zh-CN"/>
              </w:rPr>
              <w:t>分前不得开启</w:t>
            </w:r>
          </w:p>
        </w:tc>
      </w:tr>
      <w:tr w14:paraId="6E395A0B">
        <w:tblPrEx>
          <w:tblCellMar>
            <w:top w:w="113" w:type="dxa"/>
            <w:left w:w="113" w:type="dxa"/>
            <w:bottom w:w="57" w:type="dxa"/>
            <w:right w:w="113" w:type="dxa"/>
          </w:tblCellMar>
        </w:tblPrEx>
        <w:trPr>
          <w:trHeight w:val="599" w:hRule="exact"/>
        </w:trPr>
        <w:tc>
          <w:tcPr>
            <w:tcW w:w="875" w:type="dxa"/>
            <w:tcBorders>
              <w:top w:val="single" w:color="000000" w:sz="4" w:space="0"/>
              <w:left w:val="single" w:color="000000" w:sz="4" w:space="0"/>
              <w:bottom w:val="single" w:color="000000" w:sz="4" w:space="0"/>
              <w:right w:val="single" w:color="000000" w:sz="4" w:space="0"/>
            </w:tcBorders>
            <w:vAlign w:val="center"/>
          </w:tcPr>
          <w:p w14:paraId="3F88500B">
            <w:pPr>
              <w:pStyle w:val="36"/>
              <w:spacing w:line="36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highlight w:val="none"/>
                <w:lang w:val="en-US" w:eastAsia="zh-CN"/>
              </w:rPr>
              <w:t>18</w:t>
            </w:r>
          </w:p>
        </w:tc>
        <w:tc>
          <w:tcPr>
            <w:tcW w:w="2157" w:type="dxa"/>
            <w:tcBorders>
              <w:top w:val="single" w:color="000000" w:sz="4" w:space="0"/>
              <w:left w:val="single" w:color="000000" w:sz="4" w:space="0"/>
              <w:bottom w:val="single" w:color="000000" w:sz="4" w:space="0"/>
              <w:right w:val="single" w:color="000000" w:sz="4" w:space="0"/>
            </w:tcBorders>
            <w:vAlign w:val="center"/>
          </w:tcPr>
          <w:p w14:paraId="7B1568FC">
            <w:pPr>
              <w:pStyle w:val="36"/>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磋商截止时间</w:t>
            </w:r>
          </w:p>
        </w:tc>
        <w:tc>
          <w:tcPr>
            <w:tcW w:w="5667" w:type="dxa"/>
            <w:tcBorders>
              <w:top w:val="single" w:color="000000" w:sz="4" w:space="0"/>
              <w:left w:val="single" w:color="000000" w:sz="4" w:space="0"/>
              <w:bottom w:val="single" w:color="000000" w:sz="4" w:space="0"/>
              <w:right w:val="single" w:color="000000" w:sz="4" w:space="0"/>
            </w:tcBorders>
            <w:vAlign w:val="center"/>
          </w:tcPr>
          <w:p w14:paraId="012C792A">
            <w:pPr>
              <w:pStyle w:val="36"/>
              <w:spacing w:line="360" w:lineRule="auto"/>
              <w:ind w:left="110" w:leftChars="5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2024 年</w:t>
            </w:r>
            <w:r>
              <w:rPr>
                <w:rFonts w:hint="eastAsia" w:asciiTheme="minorEastAsia" w:hAnsiTheme="minorEastAsia" w:eastAsiaTheme="minorEastAsia" w:cstheme="minorEastAsia"/>
                <w:color w:val="auto"/>
                <w:sz w:val="21"/>
                <w:szCs w:val="21"/>
                <w:highlight w:val="none"/>
                <w:lang w:val="en-US" w:eastAsia="zh-CN"/>
              </w:rPr>
              <w:t xml:space="preserve">12 </w:t>
            </w:r>
            <w:r>
              <w:rPr>
                <w:rFonts w:hint="eastAsia" w:asciiTheme="minorEastAsia" w:hAnsiTheme="minorEastAsia" w:eastAsiaTheme="minorEastAsia" w:cstheme="minorEastAsia"/>
                <w:color w:val="auto"/>
                <w:sz w:val="21"/>
                <w:szCs w:val="21"/>
                <w:highlight w:val="none"/>
                <w:lang w:eastAsia="zh-CN"/>
              </w:rPr>
              <w:t>月</w:t>
            </w:r>
            <w:r>
              <w:rPr>
                <w:rFonts w:hint="eastAsia" w:asciiTheme="minorEastAsia" w:hAnsiTheme="minorEastAsia" w:eastAsiaTheme="minorEastAsia" w:cstheme="minorEastAsia"/>
                <w:color w:val="auto"/>
                <w:sz w:val="21"/>
                <w:szCs w:val="21"/>
                <w:highlight w:val="none"/>
                <w:lang w:val="en-US" w:eastAsia="zh-CN"/>
              </w:rPr>
              <w:t>16</w:t>
            </w:r>
            <w:r>
              <w:rPr>
                <w:rFonts w:hint="eastAsia" w:asciiTheme="minorEastAsia" w:hAnsiTheme="minorEastAsia" w:eastAsiaTheme="minorEastAsia" w:cstheme="minorEastAsia"/>
                <w:color w:val="auto"/>
                <w:sz w:val="21"/>
                <w:szCs w:val="21"/>
                <w:highlight w:val="none"/>
                <w:lang w:eastAsia="zh-CN"/>
              </w:rPr>
              <w:t>日09时30分(北京时间）</w:t>
            </w:r>
          </w:p>
        </w:tc>
      </w:tr>
      <w:tr w14:paraId="66A844FF">
        <w:tblPrEx>
          <w:tblCellMar>
            <w:top w:w="113" w:type="dxa"/>
            <w:left w:w="113" w:type="dxa"/>
            <w:bottom w:w="57" w:type="dxa"/>
            <w:right w:w="113" w:type="dxa"/>
          </w:tblCellMar>
        </w:tblPrEx>
        <w:trPr>
          <w:trHeight w:val="6838" w:hRule="exact"/>
        </w:trPr>
        <w:tc>
          <w:tcPr>
            <w:tcW w:w="875" w:type="dxa"/>
            <w:tcBorders>
              <w:top w:val="single" w:color="000000" w:sz="4" w:space="0"/>
              <w:left w:val="single" w:color="000000" w:sz="4" w:space="0"/>
              <w:bottom w:val="single" w:color="000000" w:sz="4" w:space="0"/>
              <w:right w:val="single" w:color="000000" w:sz="4" w:space="0"/>
            </w:tcBorders>
            <w:vAlign w:val="center"/>
          </w:tcPr>
          <w:p w14:paraId="18E79C72">
            <w:pPr>
              <w:pStyle w:val="36"/>
              <w:spacing w:line="36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19</w:t>
            </w:r>
          </w:p>
        </w:tc>
        <w:tc>
          <w:tcPr>
            <w:tcW w:w="2157" w:type="dxa"/>
            <w:tcBorders>
              <w:top w:val="single" w:color="000000" w:sz="4" w:space="0"/>
              <w:left w:val="single" w:color="000000" w:sz="4" w:space="0"/>
              <w:bottom w:val="single" w:color="000000" w:sz="4" w:space="0"/>
              <w:right w:val="single" w:color="000000" w:sz="4" w:space="0"/>
            </w:tcBorders>
            <w:vAlign w:val="center"/>
          </w:tcPr>
          <w:p w14:paraId="25C80D83">
            <w:pPr>
              <w:pStyle w:val="36"/>
              <w:spacing w:line="36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响应性文件递交地点和时间</w:t>
            </w:r>
          </w:p>
        </w:tc>
        <w:tc>
          <w:tcPr>
            <w:tcW w:w="5667" w:type="dxa"/>
            <w:tcBorders>
              <w:top w:val="single" w:color="000000" w:sz="4" w:space="0"/>
              <w:left w:val="single" w:color="000000" w:sz="4" w:space="0"/>
              <w:bottom w:val="single" w:color="000000" w:sz="4" w:space="0"/>
              <w:right w:val="single" w:color="000000" w:sz="4" w:space="0"/>
            </w:tcBorders>
            <w:vAlign w:val="center"/>
          </w:tcPr>
          <w:p w14:paraId="4B094C6B">
            <w:pPr>
              <w:pStyle w:val="36"/>
              <w:spacing w:line="360" w:lineRule="auto"/>
              <w:ind w:left="110" w:leftChars="5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首次响应文件开始接收时间：2024 年</w:t>
            </w:r>
            <w:r>
              <w:rPr>
                <w:rFonts w:hint="eastAsia" w:asciiTheme="minorEastAsia" w:hAnsiTheme="minorEastAsia" w:eastAsiaTheme="minorEastAsia" w:cstheme="minorEastAsia"/>
                <w:color w:val="auto"/>
                <w:sz w:val="21"/>
                <w:szCs w:val="21"/>
                <w:highlight w:val="none"/>
                <w:lang w:val="en-US" w:eastAsia="zh-CN"/>
              </w:rPr>
              <w:t xml:space="preserve">12 </w:t>
            </w:r>
            <w:r>
              <w:rPr>
                <w:rFonts w:hint="eastAsia" w:asciiTheme="minorEastAsia" w:hAnsiTheme="minorEastAsia" w:eastAsiaTheme="minorEastAsia" w:cstheme="minorEastAsia"/>
                <w:color w:val="auto"/>
                <w:sz w:val="21"/>
                <w:szCs w:val="21"/>
                <w:highlight w:val="none"/>
                <w:lang w:eastAsia="zh-CN"/>
              </w:rPr>
              <w:t>月</w:t>
            </w:r>
            <w:r>
              <w:rPr>
                <w:rFonts w:hint="eastAsia" w:asciiTheme="minorEastAsia" w:hAnsiTheme="minorEastAsia" w:eastAsiaTheme="minorEastAsia" w:cstheme="minorEastAsia"/>
                <w:color w:val="auto"/>
                <w:sz w:val="21"/>
                <w:szCs w:val="21"/>
                <w:highlight w:val="none"/>
                <w:lang w:val="en-US" w:eastAsia="zh-CN"/>
              </w:rPr>
              <w:t>16</w:t>
            </w:r>
            <w:r>
              <w:rPr>
                <w:rFonts w:hint="eastAsia" w:asciiTheme="minorEastAsia" w:hAnsiTheme="minorEastAsia" w:eastAsiaTheme="minorEastAsia" w:cstheme="minorEastAsia"/>
                <w:color w:val="auto"/>
                <w:sz w:val="21"/>
                <w:szCs w:val="21"/>
                <w:highlight w:val="none"/>
                <w:lang w:eastAsia="zh-CN"/>
              </w:rPr>
              <w:t>日09时</w:t>
            </w:r>
            <w:r>
              <w:rPr>
                <w:rFonts w:hint="eastAsia" w:asciiTheme="minorEastAsia" w:hAnsiTheme="minorEastAsia" w:eastAsiaTheme="minorEastAsia" w:cstheme="minorEastAsia"/>
                <w:color w:val="auto"/>
                <w:sz w:val="21"/>
                <w:szCs w:val="21"/>
                <w:highlight w:val="none"/>
                <w:lang w:val="en-US" w:eastAsia="zh-CN"/>
              </w:rPr>
              <w:t>0</w:t>
            </w:r>
            <w:r>
              <w:rPr>
                <w:rFonts w:hint="eastAsia" w:asciiTheme="minorEastAsia" w:hAnsiTheme="minorEastAsia" w:eastAsiaTheme="minorEastAsia" w:cstheme="minorEastAsia"/>
                <w:color w:val="auto"/>
                <w:sz w:val="21"/>
                <w:szCs w:val="21"/>
                <w:highlight w:val="none"/>
                <w:lang w:eastAsia="zh-CN"/>
              </w:rPr>
              <w:t>0分(北京时间）；</w:t>
            </w:r>
          </w:p>
          <w:p w14:paraId="309EF756">
            <w:pPr>
              <w:pStyle w:val="36"/>
              <w:spacing w:line="360" w:lineRule="auto"/>
              <w:ind w:left="110" w:leftChars="5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首次响应文件提交截止时间：2024 年</w:t>
            </w:r>
            <w:r>
              <w:rPr>
                <w:rFonts w:hint="eastAsia" w:asciiTheme="minorEastAsia" w:hAnsiTheme="minorEastAsia" w:eastAsiaTheme="minorEastAsia" w:cstheme="minorEastAsia"/>
                <w:color w:val="auto"/>
                <w:sz w:val="21"/>
                <w:szCs w:val="21"/>
                <w:highlight w:val="none"/>
                <w:lang w:val="en-US" w:eastAsia="zh-CN"/>
              </w:rPr>
              <w:t>12</w:t>
            </w:r>
            <w:r>
              <w:rPr>
                <w:rFonts w:hint="eastAsia" w:asciiTheme="minorEastAsia" w:hAnsiTheme="minorEastAsia" w:eastAsiaTheme="minorEastAsia" w:cstheme="minorEastAsia"/>
                <w:color w:val="auto"/>
                <w:sz w:val="21"/>
                <w:szCs w:val="21"/>
                <w:highlight w:val="none"/>
                <w:lang w:eastAsia="zh-CN"/>
              </w:rPr>
              <w:t>月</w:t>
            </w:r>
            <w:r>
              <w:rPr>
                <w:rFonts w:hint="eastAsia" w:asciiTheme="minorEastAsia" w:hAnsiTheme="minorEastAsia" w:eastAsiaTheme="minorEastAsia" w:cstheme="minorEastAsia"/>
                <w:color w:val="auto"/>
                <w:sz w:val="21"/>
                <w:szCs w:val="21"/>
                <w:highlight w:val="none"/>
                <w:lang w:val="en-US" w:eastAsia="zh-CN"/>
              </w:rPr>
              <w:t>16</w:t>
            </w:r>
            <w:r>
              <w:rPr>
                <w:rFonts w:hint="eastAsia" w:asciiTheme="minorEastAsia" w:hAnsiTheme="minorEastAsia" w:eastAsiaTheme="minorEastAsia" w:cstheme="minorEastAsia"/>
                <w:color w:val="auto"/>
                <w:sz w:val="21"/>
                <w:szCs w:val="21"/>
                <w:highlight w:val="none"/>
                <w:lang w:eastAsia="zh-CN"/>
              </w:rPr>
              <w:t>日09时30分(北京时间））；</w:t>
            </w:r>
          </w:p>
          <w:p w14:paraId="23BBE6E0">
            <w:pPr>
              <w:pStyle w:val="36"/>
              <w:spacing w:line="360" w:lineRule="auto"/>
              <w:ind w:left="110" w:leftChars="5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地点：</w:t>
            </w:r>
            <w:r>
              <w:rPr>
                <w:rFonts w:hint="eastAsia" w:ascii="宋体" w:hAnsi="宋体" w:eastAsia="宋体" w:cs="宋体"/>
                <w:color w:val="auto"/>
                <w:kern w:val="0"/>
                <w:sz w:val="21"/>
                <w:szCs w:val="21"/>
                <w:highlight w:val="none"/>
                <w:lang w:val="en-US" w:eastAsia="zh-CN"/>
              </w:rPr>
              <w:t>广西农牧工程学校教育教学服务中心</w:t>
            </w:r>
          </w:p>
          <w:p w14:paraId="3BDE34F2">
            <w:pPr>
              <w:pStyle w:val="36"/>
              <w:spacing w:line="360" w:lineRule="auto"/>
              <w:ind w:left="110" w:leftChars="5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供应商的法定代表人持身份证明书原件及身份证原件或委托代理人持法定代表人授权委托书原件和身份证原件等有效证明，经验证后递交响应文件，对于材料不全或无效的响应文件将予以拒收。</w:t>
            </w:r>
          </w:p>
          <w:p w14:paraId="400165BB">
            <w:pPr>
              <w:pStyle w:val="36"/>
              <w:spacing w:line="360" w:lineRule="auto"/>
              <w:ind w:left="110" w:leftChars="5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逾期送达或者未按照采购文件要求密封的响应文件将予以拒收。</w:t>
            </w:r>
          </w:p>
          <w:p w14:paraId="3526474F">
            <w:pPr>
              <w:pStyle w:val="36"/>
              <w:spacing w:line="360" w:lineRule="auto"/>
              <w:ind w:left="110" w:leftChars="5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首次响应文件开启时间：2024 年</w:t>
            </w:r>
            <w:r>
              <w:rPr>
                <w:rFonts w:hint="eastAsia" w:asciiTheme="minorEastAsia" w:hAnsiTheme="minorEastAsia" w:eastAsiaTheme="minorEastAsia" w:cstheme="minorEastAsia"/>
                <w:color w:val="auto"/>
                <w:sz w:val="21"/>
                <w:szCs w:val="21"/>
                <w:highlight w:val="none"/>
                <w:lang w:val="en-US" w:eastAsia="zh-CN"/>
              </w:rPr>
              <w:t xml:space="preserve">12 </w:t>
            </w:r>
            <w:r>
              <w:rPr>
                <w:rFonts w:hint="eastAsia" w:asciiTheme="minorEastAsia" w:hAnsiTheme="minorEastAsia" w:eastAsiaTheme="minorEastAsia" w:cstheme="minorEastAsia"/>
                <w:color w:val="auto"/>
                <w:sz w:val="21"/>
                <w:szCs w:val="21"/>
                <w:highlight w:val="none"/>
                <w:lang w:eastAsia="zh-CN"/>
              </w:rPr>
              <w:t>月</w:t>
            </w:r>
            <w:r>
              <w:rPr>
                <w:rFonts w:hint="eastAsia" w:asciiTheme="minorEastAsia" w:hAnsiTheme="minorEastAsia" w:eastAsiaTheme="minorEastAsia" w:cstheme="minorEastAsia"/>
                <w:color w:val="auto"/>
                <w:sz w:val="21"/>
                <w:szCs w:val="21"/>
                <w:highlight w:val="none"/>
                <w:lang w:val="en-US" w:eastAsia="zh-CN"/>
              </w:rPr>
              <w:t xml:space="preserve"> 16 </w:t>
            </w:r>
            <w:r>
              <w:rPr>
                <w:rFonts w:hint="eastAsia" w:asciiTheme="minorEastAsia" w:hAnsiTheme="minorEastAsia" w:eastAsiaTheme="minorEastAsia" w:cstheme="minorEastAsia"/>
                <w:color w:val="auto"/>
                <w:sz w:val="21"/>
                <w:szCs w:val="21"/>
                <w:highlight w:val="none"/>
                <w:lang w:eastAsia="zh-CN"/>
              </w:rPr>
              <w:t>日09时30分(北京时间）截标后；</w:t>
            </w:r>
          </w:p>
          <w:p w14:paraId="26FB15DA">
            <w:pPr>
              <w:pStyle w:val="36"/>
              <w:spacing w:line="360" w:lineRule="auto"/>
              <w:ind w:left="110" w:leftChars="5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地点：</w:t>
            </w:r>
            <w:r>
              <w:rPr>
                <w:rFonts w:hint="eastAsia" w:ascii="宋体" w:hAnsi="宋体" w:eastAsia="宋体" w:cs="宋体"/>
                <w:color w:val="auto"/>
                <w:kern w:val="0"/>
                <w:sz w:val="21"/>
                <w:szCs w:val="21"/>
                <w:highlight w:val="none"/>
                <w:lang w:val="en-US" w:eastAsia="zh-CN"/>
              </w:rPr>
              <w:t>广西农牧工程学校教育教学服务中心</w:t>
            </w:r>
          </w:p>
        </w:tc>
      </w:tr>
      <w:tr w14:paraId="5063AF3A">
        <w:tblPrEx>
          <w:tblCellMar>
            <w:top w:w="113" w:type="dxa"/>
            <w:left w:w="113" w:type="dxa"/>
            <w:bottom w:w="57" w:type="dxa"/>
            <w:right w:w="113" w:type="dxa"/>
          </w:tblCellMar>
        </w:tblPrEx>
        <w:trPr>
          <w:trHeight w:val="4138" w:hRule="exact"/>
        </w:trPr>
        <w:tc>
          <w:tcPr>
            <w:tcW w:w="875" w:type="dxa"/>
            <w:tcBorders>
              <w:top w:val="single" w:color="000000" w:sz="4" w:space="0"/>
              <w:left w:val="single" w:color="000000" w:sz="4" w:space="0"/>
              <w:bottom w:val="single" w:color="000000" w:sz="4" w:space="0"/>
              <w:right w:val="single" w:color="000000" w:sz="4" w:space="0"/>
            </w:tcBorders>
            <w:vAlign w:val="center"/>
          </w:tcPr>
          <w:p w14:paraId="1ECC2555">
            <w:pPr>
              <w:pStyle w:val="36"/>
              <w:spacing w:line="36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20</w:t>
            </w:r>
          </w:p>
        </w:tc>
        <w:tc>
          <w:tcPr>
            <w:tcW w:w="2157" w:type="dxa"/>
            <w:tcBorders>
              <w:top w:val="single" w:color="000000" w:sz="4" w:space="0"/>
              <w:left w:val="single" w:color="000000" w:sz="4" w:space="0"/>
              <w:bottom w:val="single" w:color="000000" w:sz="4" w:space="0"/>
              <w:right w:val="single" w:color="000000" w:sz="4" w:space="0"/>
            </w:tcBorders>
            <w:vAlign w:val="center"/>
          </w:tcPr>
          <w:p w14:paraId="304DAEFB">
            <w:pPr>
              <w:pStyle w:val="36"/>
              <w:spacing w:line="36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磋商时间及地点</w:t>
            </w:r>
          </w:p>
        </w:tc>
        <w:tc>
          <w:tcPr>
            <w:tcW w:w="5667" w:type="dxa"/>
            <w:tcBorders>
              <w:top w:val="single" w:color="000000" w:sz="4" w:space="0"/>
              <w:left w:val="single" w:color="000000" w:sz="4" w:space="0"/>
              <w:bottom w:val="single" w:color="000000" w:sz="4" w:space="0"/>
              <w:right w:val="single" w:color="000000" w:sz="4" w:space="0"/>
            </w:tcBorders>
            <w:vAlign w:val="center"/>
          </w:tcPr>
          <w:p w14:paraId="202814D3">
            <w:pPr>
              <w:pStyle w:val="36"/>
              <w:spacing w:line="360" w:lineRule="auto"/>
              <w:ind w:left="110" w:leftChars="5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磋商时间及地点：2024 年</w:t>
            </w:r>
            <w:r>
              <w:rPr>
                <w:rFonts w:hint="eastAsia" w:asciiTheme="minorEastAsia" w:hAnsiTheme="minorEastAsia" w:eastAsiaTheme="minorEastAsia" w:cstheme="minorEastAsia"/>
                <w:color w:val="auto"/>
                <w:sz w:val="21"/>
                <w:szCs w:val="21"/>
                <w:highlight w:val="none"/>
                <w:lang w:val="en-US" w:eastAsia="zh-CN"/>
              </w:rPr>
              <w:t>12</w:t>
            </w:r>
            <w:r>
              <w:rPr>
                <w:rFonts w:hint="eastAsia" w:asciiTheme="minorEastAsia" w:hAnsiTheme="minorEastAsia" w:eastAsiaTheme="minorEastAsia" w:cstheme="minorEastAsia"/>
                <w:color w:val="auto"/>
                <w:sz w:val="21"/>
                <w:szCs w:val="21"/>
                <w:highlight w:val="none"/>
                <w:lang w:eastAsia="zh-CN"/>
              </w:rPr>
              <w:t>月</w:t>
            </w:r>
            <w:r>
              <w:rPr>
                <w:rFonts w:hint="eastAsia" w:asciiTheme="minorEastAsia" w:hAnsiTheme="minorEastAsia" w:eastAsiaTheme="minorEastAsia" w:cstheme="minorEastAsia"/>
                <w:color w:val="auto"/>
                <w:sz w:val="21"/>
                <w:szCs w:val="21"/>
                <w:highlight w:val="none"/>
                <w:lang w:val="en-US" w:eastAsia="zh-CN"/>
              </w:rPr>
              <w:t>16</w:t>
            </w:r>
            <w:r>
              <w:rPr>
                <w:rFonts w:hint="eastAsia" w:asciiTheme="minorEastAsia" w:hAnsiTheme="minorEastAsia" w:eastAsiaTheme="minorEastAsia" w:cstheme="minorEastAsia"/>
                <w:color w:val="auto"/>
                <w:sz w:val="21"/>
                <w:szCs w:val="21"/>
                <w:highlight w:val="none"/>
                <w:lang w:eastAsia="zh-CN"/>
              </w:rPr>
              <w:t>日09时30分(北京时间）截标后为与供应商磋商时间，具体时间由采购代理机构另行通知。</w:t>
            </w:r>
          </w:p>
          <w:p w14:paraId="1984B55F">
            <w:pPr>
              <w:pStyle w:val="36"/>
              <w:spacing w:line="360" w:lineRule="auto"/>
              <w:ind w:left="110" w:leftChars="5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地点：</w:t>
            </w:r>
            <w:r>
              <w:rPr>
                <w:rFonts w:hint="eastAsia" w:ascii="宋体" w:hAnsi="宋体" w:eastAsia="宋体" w:cs="宋体"/>
                <w:color w:val="auto"/>
                <w:kern w:val="0"/>
                <w:sz w:val="21"/>
                <w:szCs w:val="21"/>
                <w:highlight w:val="none"/>
                <w:lang w:val="en-US" w:eastAsia="zh-CN"/>
              </w:rPr>
              <w:t>广西农牧工程学校教育教学服务中心</w:t>
            </w:r>
          </w:p>
          <w:p w14:paraId="6BC9D9FA">
            <w:pPr>
              <w:pStyle w:val="36"/>
              <w:spacing w:line="360" w:lineRule="auto"/>
              <w:ind w:left="110" w:leftChars="5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参加磋商的供应商法定代表人或委托代理人必须出示本人有效身份证和法定代表人授权委托书（委托代理磋商时）依时到达指定地点分别进行磋商。</w:t>
            </w:r>
          </w:p>
        </w:tc>
      </w:tr>
      <w:tr w14:paraId="1B8CC3DF">
        <w:tblPrEx>
          <w:tblCellMar>
            <w:top w:w="113" w:type="dxa"/>
            <w:left w:w="113" w:type="dxa"/>
            <w:bottom w:w="57" w:type="dxa"/>
            <w:right w:w="113" w:type="dxa"/>
          </w:tblCellMar>
        </w:tblPrEx>
        <w:trPr>
          <w:trHeight w:val="2069" w:hRule="exact"/>
        </w:trPr>
        <w:tc>
          <w:tcPr>
            <w:tcW w:w="875" w:type="dxa"/>
            <w:tcBorders>
              <w:top w:val="single" w:color="000000" w:sz="4" w:space="0"/>
              <w:left w:val="single" w:color="000000" w:sz="4" w:space="0"/>
              <w:bottom w:val="single" w:color="000000" w:sz="4" w:space="0"/>
              <w:right w:val="single" w:color="000000" w:sz="4" w:space="0"/>
            </w:tcBorders>
            <w:vAlign w:val="center"/>
          </w:tcPr>
          <w:p w14:paraId="45936536">
            <w:pPr>
              <w:pStyle w:val="36"/>
              <w:spacing w:line="360" w:lineRule="auto"/>
              <w:jc w:val="center"/>
              <w:rPr>
                <w:rFonts w:hint="eastAsia" w:asciiTheme="minorEastAsia" w:hAnsiTheme="minorEastAsia" w:eastAsiaTheme="minorEastAsia" w:cstheme="minorEastAsia"/>
                <w:color w:val="auto"/>
                <w:sz w:val="20"/>
                <w:szCs w:val="20"/>
                <w:highlight w:val="none"/>
                <w:lang w:eastAsia="zh-CN"/>
              </w:rPr>
            </w:pPr>
          </w:p>
          <w:p w14:paraId="0685992F">
            <w:pPr>
              <w:pStyle w:val="36"/>
              <w:spacing w:line="36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highlight w:val="none"/>
                <w:lang w:val="en-US" w:eastAsia="zh-CN"/>
              </w:rPr>
              <w:t>21</w:t>
            </w:r>
          </w:p>
        </w:tc>
        <w:tc>
          <w:tcPr>
            <w:tcW w:w="2157" w:type="dxa"/>
            <w:tcBorders>
              <w:top w:val="single" w:color="000000" w:sz="4" w:space="0"/>
              <w:left w:val="single" w:color="000000" w:sz="4" w:space="0"/>
              <w:bottom w:val="single" w:color="000000" w:sz="4" w:space="0"/>
              <w:right w:val="single" w:color="000000" w:sz="4" w:space="0"/>
            </w:tcBorders>
            <w:vAlign w:val="center"/>
          </w:tcPr>
          <w:p w14:paraId="02061518">
            <w:pPr>
              <w:pStyle w:val="36"/>
              <w:spacing w:line="360" w:lineRule="auto"/>
              <w:jc w:val="center"/>
              <w:rPr>
                <w:rFonts w:hint="eastAsia" w:asciiTheme="minorEastAsia" w:hAnsiTheme="minorEastAsia" w:eastAsiaTheme="minorEastAsia" w:cstheme="minorEastAsia"/>
                <w:color w:val="auto"/>
                <w:sz w:val="20"/>
                <w:szCs w:val="20"/>
                <w:highlight w:val="none"/>
              </w:rPr>
            </w:pPr>
          </w:p>
          <w:p w14:paraId="5141016A">
            <w:pPr>
              <w:pStyle w:val="36"/>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磋商小组的组建</w:t>
            </w:r>
          </w:p>
        </w:tc>
        <w:tc>
          <w:tcPr>
            <w:tcW w:w="5667" w:type="dxa"/>
            <w:tcBorders>
              <w:top w:val="single" w:color="000000" w:sz="4" w:space="0"/>
              <w:left w:val="single" w:color="000000" w:sz="4" w:space="0"/>
              <w:bottom w:val="single" w:color="000000" w:sz="4" w:space="0"/>
              <w:right w:val="single" w:color="000000" w:sz="4" w:space="0"/>
            </w:tcBorders>
            <w:vAlign w:val="center"/>
          </w:tcPr>
          <w:p w14:paraId="671165C9">
            <w:pPr>
              <w:pStyle w:val="36"/>
              <w:spacing w:line="360" w:lineRule="auto"/>
              <w:ind w:left="110" w:leftChars="5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磋商小组构成:由采购人1名及有关技术、经济方面专家2名，共3人组成；</w:t>
            </w:r>
          </w:p>
          <w:p w14:paraId="0F459D2A">
            <w:pPr>
              <w:pStyle w:val="36"/>
              <w:spacing w:line="360" w:lineRule="auto"/>
              <w:ind w:left="110" w:leftChars="5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磋商小组确定方式：磋商前从相关评标专家库中随机抽取。</w:t>
            </w:r>
          </w:p>
        </w:tc>
      </w:tr>
    </w:tbl>
    <w:p w14:paraId="4B342996">
      <w:pPr>
        <w:rPr>
          <w:rFonts w:hint="eastAsia" w:asciiTheme="minorEastAsia" w:hAnsiTheme="minorEastAsia" w:eastAsiaTheme="minorEastAsia" w:cstheme="minorEastAsia"/>
          <w:b/>
          <w:bCs/>
          <w:color w:val="auto"/>
          <w:highlight w:val="none"/>
          <w:lang w:eastAsia="zh-CN"/>
        </w:rPr>
      </w:pPr>
      <w:bookmarkStart w:id="10" w:name="一、总则"/>
      <w:bookmarkEnd w:id="10"/>
      <w:bookmarkStart w:id="11" w:name="_bookmark2"/>
      <w:bookmarkEnd w:id="11"/>
      <w:bookmarkStart w:id="12" w:name="_Toc426"/>
      <w:bookmarkStart w:id="13" w:name="_Toc18726"/>
      <w:r>
        <w:rPr>
          <w:rFonts w:hint="eastAsia" w:asciiTheme="minorEastAsia" w:hAnsiTheme="minorEastAsia" w:eastAsiaTheme="minorEastAsia" w:cstheme="minorEastAsia"/>
          <w:b/>
          <w:bCs/>
          <w:color w:val="auto"/>
          <w:highlight w:val="none"/>
          <w:lang w:eastAsia="zh-CN"/>
        </w:rPr>
        <w:br w:type="page"/>
      </w:r>
    </w:p>
    <w:p w14:paraId="503DBBF7">
      <w:pPr>
        <w:spacing w:line="360" w:lineRule="auto"/>
        <w:ind w:left="100"/>
        <w:outlineLvl w:val="1"/>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一、总则</w:t>
      </w:r>
      <w:bookmarkEnd w:id="12"/>
      <w:bookmarkEnd w:id="13"/>
    </w:p>
    <w:p w14:paraId="00D2017D">
      <w:pPr>
        <w:spacing w:line="360" w:lineRule="auto"/>
        <w:ind w:left="1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1.项目概况</w:t>
      </w:r>
    </w:p>
    <w:p w14:paraId="6F4AB61A">
      <w:pPr>
        <w:keepNext w:val="0"/>
        <w:keepLines w:val="0"/>
        <w:pageBreakBefore w:val="0"/>
        <w:widowControl w:val="0"/>
        <w:kinsoku/>
        <w:wordWrap/>
        <w:overflowPunct/>
        <w:topLinePunct w:val="0"/>
        <w:autoSpaceDE/>
        <w:autoSpaceDN/>
        <w:bidi w:val="0"/>
        <w:adjustRightInd/>
        <w:snapToGrid/>
        <w:spacing w:line="360" w:lineRule="auto"/>
        <w:ind w:left="102" w:firstLine="420" w:firstLineChars="20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1.1本项目已具备磋商条件，可以进行竞争性磋商采购活动</w:t>
      </w:r>
    </w:p>
    <w:p w14:paraId="14944AE1">
      <w:pPr>
        <w:pStyle w:val="36"/>
        <w:spacing w:line="360" w:lineRule="auto"/>
        <w:ind w:left="110" w:leftChars="50"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eastAsia="zh-CN"/>
        </w:rPr>
        <w:t>1.2采购人：</w:t>
      </w:r>
      <w:r>
        <w:rPr>
          <w:rFonts w:hint="eastAsia" w:asciiTheme="minorEastAsia" w:hAnsiTheme="minorEastAsia" w:eastAsiaTheme="minorEastAsia" w:cstheme="minorEastAsia"/>
          <w:color w:val="auto"/>
          <w:sz w:val="21"/>
          <w:szCs w:val="21"/>
          <w:highlight w:val="none"/>
          <w:lang w:val="en-US" w:eastAsia="zh-CN"/>
        </w:rPr>
        <w:t>广西农牧工程学校</w:t>
      </w:r>
    </w:p>
    <w:p w14:paraId="6520026E">
      <w:pPr>
        <w:keepNext w:val="0"/>
        <w:keepLines w:val="0"/>
        <w:pageBreakBefore w:val="0"/>
        <w:widowControl w:val="0"/>
        <w:kinsoku/>
        <w:wordWrap/>
        <w:overflowPunct/>
        <w:topLinePunct w:val="0"/>
        <w:autoSpaceDE/>
        <w:autoSpaceDN/>
        <w:bidi w:val="0"/>
        <w:adjustRightInd/>
        <w:snapToGrid/>
        <w:spacing w:line="360" w:lineRule="auto"/>
        <w:ind w:left="102"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eastAsia="zh-CN"/>
        </w:rPr>
        <w:t>1.3项目名称：</w:t>
      </w:r>
      <w:r>
        <w:rPr>
          <w:rFonts w:hint="eastAsia" w:ascii="宋体" w:hAnsi="宋体" w:eastAsia="宋体" w:cs="宋体"/>
          <w:color w:val="auto"/>
          <w:sz w:val="21"/>
          <w:szCs w:val="21"/>
          <w:highlight w:val="none"/>
          <w:lang w:val="en-US" w:eastAsia="zh-CN" w:bidi="ar-SA"/>
        </w:rPr>
        <w:t>1#学生宿舍项目工程勘察服务</w:t>
      </w:r>
    </w:p>
    <w:p w14:paraId="6C3FDF84">
      <w:pPr>
        <w:spacing w:line="360" w:lineRule="auto"/>
        <w:ind w:left="1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2.采购内容</w:t>
      </w:r>
    </w:p>
    <w:p w14:paraId="7EBCA52C">
      <w:pPr>
        <w:keepNext w:val="0"/>
        <w:keepLines w:val="0"/>
        <w:pageBreakBefore w:val="0"/>
        <w:widowControl w:val="0"/>
        <w:kinsoku/>
        <w:wordWrap/>
        <w:overflowPunct/>
        <w:topLinePunct w:val="0"/>
        <w:autoSpaceDE/>
        <w:autoSpaceDN/>
        <w:bidi w:val="0"/>
        <w:adjustRightInd/>
        <w:snapToGrid/>
        <w:spacing w:line="360" w:lineRule="auto"/>
        <w:ind w:left="102" w:firstLine="420" w:firstLineChars="20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2.1本次采购项目为</w:t>
      </w:r>
      <w:r>
        <w:rPr>
          <w:rFonts w:hint="eastAsia" w:ascii="宋体" w:hAnsi="宋体" w:eastAsia="宋体" w:cs="宋体"/>
          <w:color w:val="auto"/>
          <w:sz w:val="21"/>
          <w:szCs w:val="21"/>
          <w:highlight w:val="none"/>
          <w:lang w:val="en-US" w:eastAsia="zh-CN" w:bidi="ar-SA"/>
        </w:rPr>
        <w:t>1#学生宿舍项目工程勘察服务</w:t>
      </w:r>
      <w:r>
        <w:rPr>
          <w:rFonts w:hint="eastAsia" w:asciiTheme="minorEastAsia" w:hAnsiTheme="minorEastAsia" w:eastAsiaTheme="minorEastAsia" w:cstheme="minorEastAsia"/>
          <w:color w:val="auto"/>
          <w:sz w:val="21"/>
          <w:szCs w:val="21"/>
          <w:highlight w:val="none"/>
          <w:lang w:eastAsia="zh-CN"/>
        </w:rPr>
        <w:t>。</w:t>
      </w:r>
    </w:p>
    <w:p w14:paraId="2F238A26">
      <w:pPr>
        <w:pStyle w:val="10"/>
        <w:spacing w:before="0" w:line="360" w:lineRule="auto"/>
        <w:ind w:left="0" w:leftChars="0" w:firstLine="42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bidi="ar-SA"/>
        </w:rPr>
        <w:t>2.2</w:t>
      </w:r>
      <w:r>
        <w:rPr>
          <w:rFonts w:hint="eastAsia" w:asciiTheme="minorEastAsia" w:hAnsiTheme="minorEastAsia" w:eastAsiaTheme="minorEastAsia" w:cstheme="minorEastAsia"/>
          <w:color w:val="auto"/>
          <w:sz w:val="21"/>
          <w:szCs w:val="21"/>
          <w:highlight w:val="none"/>
          <w:lang w:eastAsia="zh-CN"/>
        </w:rPr>
        <w:t>本项目采购内容：详见竞争性磋商公告。</w:t>
      </w:r>
    </w:p>
    <w:p w14:paraId="644D4C60">
      <w:pPr>
        <w:spacing w:line="360" w:lineRule="auto"/>
        <w:ind w:left="1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3.竞争性磋商费用</w:t>
      </w:r>
    </w:p>
    <w:p w14:paraId="267A02FF">
      <w:pPr>
        <w:pStyle w:val="10"/>
        <w:spacing w:before="0" w:line="360" w:lineRule="auto"/>
        <w:ind w:left="0" w:firstLine="42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3.1供应商在竞争性磋商申请过程中发生的一切费用，不论中标与否，均由其自行承担。</w:t>
      </w:r>
    </w:p>
    <w:p w14:paraId="029435B1">
      <w:pPr>
        <w:pStyle w:val="10"/>
        <w:spacing w:before="0" w:line="360" w:lineRule="auto"/>
        <w:ind w:left="0" w:firstLine="42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3.2 成交服务费由中标单位按前附表要求进行支付。</w:t>
      </w:r>
    </w:p>
    <w:p w14:paraId="3DC465DD">
      <w:pPr>
        <w:spacing w:line="360" w:lineRule="auto"/>
        <w:ind w:left="1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4.服务周期：</w:t>
      </w:r>
      <w:r>
        <w:rPr>
          <w:rFonts w:hint="eastAsia" w:asciiTheme="minorEastAsia" w:hAnsiTheme="minorEastAsia" w:eastAsiaTheme="minorEastAsia" w:cstheme="minorEastAsia"/>
          <w:color w:val="auto"/>
          <w:sz w:val="21"/>
          <w:szCs w:val="21"/>
          <w:highlight w:val="none"/>
          <w:lang w:eastAsia="zh-CN"/>
        </w:rPr>
        <w:t>详见磋商公告。</w:t>
      </w:r>
    </w:p>
    <w:p w14:paraId="4D77210A">
      <w:pPr>
        <w:spacing w:line="360" w:lineRule="auto"/>
        <w:ind w:left="100"/>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5.竞争性磋商供应商资格条件：详见供应商须知前附表</w:t>
      </w:r>
    </w:p>
    <w:p w14:paraId="7E37E89D">
      <w:pPr>
        <w:spacing w:line="360" w:lineRule="auto"/>
        <w:ind w:left="1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6.竞争性磋商要求</w:t>
      </w:r>
    </w:p>
    <w:p w14:paraId="6ABE589A">
      <w:pPr>
        <w:pStyle w:val="10"/>
        <w:keepNext w:val="0"/>
        <w:keepLines w:val="0"/>
        <w:pageBreakBefore w:val="0"/>
        <w:widowControl w:val="0"/>
        <w:kinsoku/>
        <w:wordWrap/>
        <w:overflowPunct/>
        <w:topLinePunct w:val="0"/>
        <w:autoSpaceDE/>
        <w:autoSpaceDN/>
        <w:bidi w:val="0"/>
        <w:adjustRightInd/>
        <w:snapToGrid/>
        <w:spacing w:before="0" w:line="360" w:lineRule="auto"/>
        <w:ind w:left="0" w:firstLine="420" w:firstLineChars="20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6.1本项目不允许同一竞争性磋商供应商提交两份或两份以上不同实质内容的竞争性磋商响应文件。</w:t>
      </w:r>
    </w:p>
    <w:p w14:paraId="0C284DCA">
      <w:pPr>
        <w:pStyle w:val="10"/>
        <w:keepNext w:val="0"/>
        <w:keepLines w:val="0"/>
        <w:pageBreakBefore w:val="0"/>
        <w:widowControl w:val="0"/>
        <w:kinsoku/>
        <w:wordWrap/>
        <w:overflowPunct/>
        <w:topLinePunct w:val="0"/>
        <w:autoSpaceDE/>
        <w:autoSpaceDN/>
        <w:bidi w:val="0"/>
        <w:adjustRightInd/>
        <w:snapToGrid/>
        <w:spacing w:before="0" w:line="360" w:lineRule="auto"/>
        <w:ind w:left="0" w:firstLine="420" w:firstLineChars="20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6.2不论竞争性磋商申请结果如何，采购单位对供应商的竞争性磋商响应文件均不退还，且不对此作任何解释。</w:t>
      </w:r>
    </w:p>
    <w:p w14:paraId="36F12454">
      <w:pPr>
        <w:spacing w:line="360" w:lineRule="auto"/>
        <w:ind w:left="1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7.定义及解释</w:t>
      </w:r>
    </w:p>
    <w:p w14:paraId="6A75FEDB">
      <w:pPr>
        <w:pStyle w:val="10"/>
        <w:keepNext w:val="0"/>
        <w:keepLines w:val="0"/>
        <w:pageBreakBefore w:val="0"/>
        <w:widowControl w:val="0"/>
        <w:kinsoku/>
        <w:wordWrap/>
        <w:overflowPunct/>
        <w:topLinePunct w:val="0"/>
        <w:autoSpaceDE/>
        <w:autoSpaceDN/>
        <w:bidi w:val="0"/>
        <w:adjustRightInd/>
        <w:snapToGrid/>
        <w:spacing w:before="0" w:line="360" w:lineRule="auto"/>
        <w:ind w:left="0" w:firstLine="420" w:firstLineChars="20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7.</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供应商：是指响应竞争性磋商、参加竞争性磋商申请竞争的法人或者其它组织。</w:t>
      </w:r>
    </w:p>
    <w:p w14:paraId="420FE040">
      <w:pPr>
        <w:pStyle w:val="10"/>
        <w:keepNext w:val="0"/>
        <w:keepLines w:val="0"/>
        <w:pageBreakBefore w:val="0"/>
        <w:widowControl w:val="0"/>
        <w:kinsoku/>
        <w:wordWrap/>
        <w:overflowPunct/>
        <w:topLinePunct w:val="0"/>
        <w:autoSpaceDE/>
        <w:autoSpaceDN/>
        <w:bidi w:val="0"/>
        <w:adjustRightInd/>
        <w:snapToGrid/>
        <w:spacing w:before="0" w:line="360" w:lineRule="auto"/>
        <w:ind w:left="0" w:firstLine="420" w:firstLineChars="20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7.</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采购人（业主）：</w:t>
      </w:r>
      <w:r>
        <w:rPr>
          <w:rFonts w:hint="eastAsia" w:asciiTheme="minorEastAsia" w:hAnsiTheme="minorEastAsia" w:eastAsiaTheme="minorEastAsia" w:cstheme="minorEastAsia"/>
          <w:color w:val="auto"/>
          <w:sz w:val="21"/>
          <w:szCs w:val="21"/>
          <w:highlight w:val="none"/>
          <w:lang w:val="en-US" w:eastAsia="zh-CN"/>
        </w:rPr>
        <w:t>广西农牧工程学校</w:t>
      </w:r>
      <w:r>
        <w:rPr>
          <w:rFonts w:hint="eastAsia" w:asciiTheme="minorEastAsia" w:hAnsiTheme="minorEastAsia" w:eastAsiaTheme="minorEastAsia" w:cstheme="minorEastAsia"/>
          <w:color w:val="auto"/>
          <w:sz w:val="21"/>
          <w:szCs w:val="21"/>
          <w:highlight w:val="none"/>
          <w:lang w:eastAsia="zh-CN"/>
        </w:rPr>
        <w:t>。</w:t>
      </w:r>
    </w:p>
    <w:p w14:paraId="299991D5">
      <w:pPr>
        <w:pStyle w:val="10"/>
        <w:keepNext w:val="0"/>
        <w:keepLines w:val="0"/>
        <w:pageBreakBefore w:val="0"/>
        <w:widowControl w:val="0"/>
        <w:kinsoku/>
        <w:wordWrap/>
        <w:overflowPunct/>
        <w:topLinePunct w:val="0"/>
        <w:autoSpaceDE/>
        <w:autoSpaceDN/>
        <w:bidi w:val="0"/>
        <w:adjustRightInd/>
        <w:snapToGrid/>
        <w:spacing w:before="0" w:line="360" w:lineRule="auto"/>
        <w:ind w:left="0" w:firstLine="420" w:firstLineChars="20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7.</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eastAsia="zh-CN"/>
        </w:rPr>
        <w:t>竞争性磋商小组：系指按采购人（业主）依法组建的专门负责本次采购评标工作的临时机构。</w:t>
      </w:r>
    </w:p>
    <w:p w14:paraId="34AA2BC0">
      <w:pPr>
        <w:pStyle w:val="10"/>
        <w:keepNext w:val="0"/>
        <w:keepLines w:val="0"/>
        <w:pageBreakBefore w:val="0"/>
        <w:widowControl w:val="0"/>
        <w:kinsoku/>
        <w:wordWrap/>
        <w:overflowPunct/>
        <w:topLinePunct w:val="0"/>
        <w:autoSpaceDE/>
        <w:autoSpaceDN/>
        <w:bidi w:val="0"/>
        <w:adjustRightInd/>
        <w:snapToGrid/>
        <w:spacing w:before="0" w:line="360" w:lineRule="auto"/>
        <w:ind w:left="0" w:firstLine="420" w:firstLineChars="20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7.5货物:指供应商按竞争性磋商文件的要求，须向采购人提供生产的货物及其它有关技术资料。</w:t>
      </w:r>
    </w:p>
    <w:p w14:paraId="4267BCC0">
      <w:pPr>
        <w:pStyle w:val="10"/>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7.6服务:指磋商文件中规定的供应商须承担的服务内容。</w:t>
      </w:r>
    </w:p>
    <w:p w14:paraId="68C8956E">
      <w:pPr>
        <w:pStyle w:val="10"/>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7.7日期：系指公历日。</w:t>
      </w:r>
    </w:p>
    <w:p w14:paraId="7FAA9381">
      <w:pPr>
        <w:pStyle w:val="10"/>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7.8竞争性磋商文件中所规定的“书面形式”，是指任何手写、打印或印刷的通讯，包括电报和传真发送。</w:t>
      </w:r>
    </w:p>
    <w:p w14:paraId="10D977EF">
      <w:pPr>
        <w:pStyle w:val="10"/>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7.9合格的供应商为资格审查通过的供应商。</w:t>
      </w:r>
    </w:p>
    <w:p w14:paraId="65CC9DAE">
      <w:pPr>
        <w:pStyle w:val="10"/>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7.10</w:t>
      </w:r>
      <w:r>
        <w:rPr>
          <w:rFonts w:hint="eastAsia" w:asciiTheme="minorEastAsia" w:hAnsiTheme="minorEastAsia" w:eastAsiaTheme="minorEastAsia" w:cstheme="minorEastAsia"/>
          <w:color w:val="auto"/>
          <w:sz w:val="21"/>
          <w:szCs w:val="21"/>
          <w:highlight w:val="none"/>
        </w:rPr>
        <w:t>“▲”是指实质性要求条款。</w:t>
      </w:r>
    </w:p>
    <w:p w14:paraId="00474AE3">
      <w:pPr>
        <w:spacing w:line="360" w:lineRule="auto"/>
        <w:ind w:left="100" w:right="3015"/>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8.保证</w:t>
      </w:r>
    </w:p>
    <w:p w14:paraId="660C07D6">
      <w:pPr>
        <w:pStyle w:val="10"/>
        <w:spacing w:before="0" w:line="360" w:lineRule="auto"/>
        <w:ind w:left="100" w:right="393" w:firstLine="42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供应商应保证在竞争性磋商响应文件中所提交的资料和数据是真实的，并能在承诺的时间内及时的完 成竞争性磋商响应文件承诺的所有内容及服务。</w:t>
      </w:r>
    </w:p>
    <w:p w14:paraId="3D21F68E">
      <w:pPr>
        <w:numPr>
          <w:ilvl w:val="0"/>
          <w:numId w:val="2"/>
        </w:numPr>
        <w:spacing w:line="360" w:lineRule="auto"/>
        <w:ind w:left="100" w:right="6077"/>
        <w:outlineLvl w:val="1"/>
        <w:rPr>
          <w:rFonts w:hint="eastAsia" w:asciiTheme="minorEastAsia" w:hAnsiTheme="minorEastAsia" w:eastAsiaTheme="minorEastAsia" w:cstheme="minorEastAsia"/>
          <w:b/>
          <w:bCs/>
          <w:color w:val="auto"/>
          <w:w w:val="99"/>
          <w:sz w:val="21"/>
          <w:szCs w:val="21"/>
          <w:highlight w:val="none"/>
        </w:rPr>
      </w:pPr>
      <w:bookmarkStart w:id="14" w:name="二、竞争性磋商文件"/>
      <w:bookmarkEnd w:id="14"/>
      <w:bookmarkStart w:id="15" w:name="_bookmark3"/>
      <w:bookmarkEnd w:id="15"/>
      <w:bookmarkStart w:id="16" w:name="_Toc19291"/>
      <w:bookmarkStart w:id="17" w:name="_Toc17265"/>
      <w:r>
        <w:rPr>
          <w:rFonts w:hint="eastAsia" w:asciiTheme="minorEastAsia" w:hAnsiTheme="minorEastAsia" w:eastAsiaTheme="minorEastAsia" w:cstheme="minorEastAsia"/>
          <w:b/>
          <w:bCs/>
          <w:color w:val="auto"/>
          <w:sz w:val="21"/>
          <w:szCs w:val="21"/>
          <w:highlight w:val="none"/>
        </w:rPr>
        <w:t>竞争性磋商文件</w:t>
      </w:r>
      <w:bookmarkEnd w:id="16"/>
      <w:bookmarkEnd w:id="17"/>
    </w:p>
    <w:p w14:paraId="1B38A597">
      <w:pPr>
        <w:spacing w:line="360" w:lineRule="auto"/>
        <w:ind w:left="100" w:right="3015"/>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9.竞争性磋商文件的组成</w:t>
      </w:r>
    </w:p>
    <w:p w14:paraId="59FEF597">
      <w:pPr>
        <w:pStyle w:val="10"/>
        <w:spacing w:before="0" w:line="360" w:lineRule="auto"/>
        <w:ind w:right="393"/>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9.1竞争性磋商文件包括下列内容及按第9.3、9.4条款内容发出的补充文件。</w:t>
      </w:r>
    </w:p>
    <w:p w14:paraId="5A4642E3">
      <w:pPr>
        <w:pStyle w:val="10"/>
        <w:spacing w:before="0" w:line="360" w:lineRule="auto"/>
        <w:ind w:left="834" w:right="3015"/>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（1）竞争性磋商公告</w:t>
      </w:r>
    </w:p>
    <w:p w14:paraId="2D373BB9">
      <w:pPr>
        <w:pStyle w:val="10"/>
        <w:spacing w:before="0" w:line="360" w:lineRule="auto"/>
        <w:ind w:left="834" w:right="3015"/>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（2）供应商须知前附表</w:t>
      </w:r>
    </w:p>
    <w:p w14:paraId="6B2E9638">
      <w:pPr>
        <w:pStyle w:val="10"/>
        <w:spacing w:before="0" w:line="360" w:lineRule="auto"/>
        <w:ind w:left="834" w:right="3015"/>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HYPERLINK \l "_bookmark7"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lang w:eastAsia="zh-CN"/>
        </w:rPr>
        <w:t>（3）评标办法</w:t>
      </w:r>
      <w:r>
        <w:rPr>
          <w:rFonts w:hint="eastAsia" w:asciiTheme="minorEastAsia" w:hAnsiTheme="minorEastAsia" w:eastAsiaTheme="minorEastAsia" w:cstheme="minorEastAsia"/>
          <w:color w:val="auto"/>
          <w:sz w:val="21"/>
          <w:szCs w:val="21"/>
          <w:highlight w:val="none"/>
          <w:lang w:eastAsia="zh-CN"/>
        </w:rPr>
        <w:fldChar w:fldCharType="end"/>
      </w:r>
    </w:p>
    <w:p w14:paraId="66A29591">
      <w:pPr>
        <w:pStyle w:val="10"/>
        <w:spacing w:before="0" w:line="360" w:lineRule="auto"/>
        <w:ind w:left="834" w:right="3015"/>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HYPERLINK \l "_bookmark11"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lang w:eastAsia="zh-CN"/>
        </w:rPr>
        <w:t>（4）合同主要条款及格式</w:t>
      </w:r>
      <w:r>
        <w:rPr>
          <w:rFonts w:hint="eastAsia" w:asciiTheme="minorEastAsia" w:hAnsiTheme="minorEastAsia" w:eastAsiaTheme="minorEastAsia" w:cstheme="minorEastAsia"/>
          <w:color w:val="auto"/>
          <w:sz w:val="21"/>
          <w:szCs w:val="21"/>
          <w:highlight w:val="none"/>
          <w:lang w:eastAsia="zh-CN"/>
        </w:rPr>
        <w:fldChar w:fldCharType="end"/>
      </w:r>
    </w:p>
    <w:p w14:paraId="287F9834">
      <w:pPr>
        <w:pStyle w:val="10"/>
        <w:spacing w:before="0" w:line="360" w:lineRule="auto"/>
        <w:ind w:left="834" w:right="3015"/>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HYPERLINK \l "_bookmark12"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lang w:eastAsia="zh-CN"/>
        </w:rPr>
        <w:t>（5）</w:t>
      </w:r>
      <w:r>
        <w:rPr>
          <w:rFonts w:hint="eastAsia" w:asciiTheme="minorEastAsia" w:hAnsiTheme="minorEastAsia" w:eastAsiaTheme="minorEastAsia" w:cstheme="minorEastAsia"/>
          <w:color w:val="auto"/>
          <w:sz w:val="21"/>
          <w:szCs w:val="21"/>
          <w:highlight w:val="none"/>
          <w:lang w:eastAsia="zh-CN"/>
        </w:rPr>
        <w:fldChar w:fldCharType="end"/>
      </w:r>
      <w:r>
        <w:rPr>
          <w:rFonts w:hint="eastAsia" w:asciiTheme="minorEastAsia" w:hAnsiTheme="minorEastAsia" w:eastAsiaTheme="minorEastAsia" w:cstheme="minorEastAsia"/>
          <w:color w:val="auto"/>
          <w:sz w:val="21"/>
          <w:szCs w:val="21"/>
          <w:highlight w:val="none"/>
          <w:lang w:val="en-US" w:eastAsia="zh-CN"/>
        </w:rPr>
        <w:t>服务需求</w:t>
      </w:r>
    </w:p>
    <w:p w14:paraId="741F0DD1">
      <w:pPr>
        <w:pStyle w:val="10"/>
        <w:spacing w:before="0" w:line="360" w:lineRule="auto"/>
        <w:ind w:left="834" w:right="3015"/>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HYPERLINK \l "_bookmark13"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lang w:eastAsia="zh-CN"/>
        </w:rPr>
        <w:t>）磋商响应文件格式</w:t>
      </w:r>
      <w:r>
        <w:rPr>
          <w:rFonts w:hint="eastAsia" w:asciiTheme="minorEastAsia" w:hAnsiTheme="minorEastAsia" w:eastAsiaTheme="minorEastAsia" w:cstheme="minorEastAsia"/>
          <w:color w:val="auto"/>
          <w:sz w:val="21"/>
          <w:szCs w:val="21"/>
          <w:highlight w:val="none"/>
          <w:lang w:eastAsia="zh-CN"/>
        </w:rPr>
        <w:fldChar w:fldCharType="end"/>
      </w:r>
    </w:p>
    <w:p w14:paraId="009D3D54">
      <w:pPr>
        <w:pStyle w:val="10"/>
        <w:spacing w:before="0" w:line="360" w:lineRule="auto"/>
        <w:ind w:left="100" w:right="393" w:firstLine="42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9.2 供应商应详细阅读竞争性磋商文件中的所有条款内容、格式、表格和所涉及的相关规范，如果供应商不按竞争性磋商文件的要求提交竞争性磋商响应文件和资料的，或者竞争性磋商响应文件没有对竞争性磋商文件提出的实质性要求和条件作出响应，将导致竞争性磋商响应文件不被接受，其后果由供应商自己负责。</w:t>
      </w:r>
    </w:p>
    <w:p w14:paraId="0FFB2DD5">
      <w:pPr>
        <w:pStyle w:val="10"/>
        <w:spacing w:before="0" w:line="360" w:lineRule="auto"/>
        <w:ind w:left="100" w:right="393" w:firstLine="42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9.3 竞争性磋商文件的澄清要求澄清竞争性磋商文件的供应商应以书面形式并加盖企业公章按竞争性磋商供应商须知前附表中的地址告知采购代理机构。采购代理机构将答复发给所有竞争性磋商文件收受人( 包括对要求澄清问题的说明，但不指明问题的来源)。</w:t>
      </w:r>
    </w:p>
    <w:p w14:paraId="783EC65C">
      <w:pPr>
        <w:pStyle w:val="10"/>
        <w:spacing w:before="0" w:line="360" w:lineRule="auto"/>
        <w:ind w:right="3015"/>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9.4竞争性磋商文件的修正</w:t>
      </w:r>
    </w:p>
    <w:p w14:paraId="324FC776">
      <w:pPr>
        <w:pStyle w:val="10"/>
        <w:spacing w:before="0" w:line="360" w:lineRule="auto"/>
        <w:ind w:left="100" w:firstLine="42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9.4.1在竞争性磋商申请截止前，无论出于何种原因，采购人可以用补充文件的方式修正竞争性磋商文件。该补充文件将成为竞争性磋商文件的一部分。</w:t>
      </w:r>
    </w:p>
    <w:p w14:paraId="0203E464">
      <w:pPr>
        <w:pStyle w:val="10"/>
        <w:spacing w:before="0" w:line="360" w:lineRule="auto"/>
        <w:ind w:left="100" w:firstLine="42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9.4.2补充文件将以书面方式发给所有竞争性磋商文件收受人，竞争性磋商文件收受人应以书面形式回复采购代理机构确认收到每一份补充文件。</w:t>
      </w:r>
    </w:p>
    <w:p w14:paraId="71778ABF">
      <w:pPr>
        <w:pStyle w:val="10"/>
        <w:spacing w:before="0" w:line="360" w:lineRule="auto"/>
        <w:ind w:left="100" w:firstLine="420"/>
        <w:rPr>
          <w:rFonts w:hint="eastAsia" w:asciiTheme="minorEastAsia" w:hAnsiTheme="minorEastAsia" w:eastAsiaTheme="minorEastAsia" w:cstheme="minorEastAsia"/>
          <w:color w:val="auto"/>
          <w:w w:val="99"/>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9.4.3为使供应商有足够的时间按修正的竞争性磋商文件准备竞争性磋商响应文件，采购人可以酌情延长竞争性磋商申请截止时间，并将此变更通知所有竞争性磋商文件收受人。</w:t>
      </w:r>
      <w:bookmarkStart w:id="18" w:name="_bookmark4"/>
      <w:bookmarkEnd w:id="18"/>
      <w:bookmarkStart w:id="19" w:name="三、竞争性磋商响应文件的编制"/>
      <w:bookmarkEnd w:id="19"/>
    </w:p>
    <w:p w14:paraId="6AC65D1E">
      <w:pPr>
        <w:pStyle w:val="10"/>
        <w:spacing w:before="0" w:line="360" w:lineRule="auto"/>
        <w:ind w:left="0"/>
        <w:outlineLvl w:val="1"/>
        <w:rPr>
          <w:rFonts w:hint="eastAsia" w:asciiTheme="minorEastAsia" w:hAnsiTheme="minorEastAsia" w:eastAsiaTheme="minorEastAsia" w:cstheme="minorEastAsia"/>
          <w:color w:val="auto"/>
          <w:sz w:val="21"/>
          <w:szCs w:val="21"/>
          <w:highlight w:val="none"/>
          <w:lang w:eastAsia="zh-CN"/>
        </w:rPr>
      </w:pPr>
      <w:bookmarkStart w:id="20" w:name="_Toc22426"/>
      <w:bookmarkStart w:id="21" w:name="_Toc14722"/>
      <w:r>
        <w:rPr>
          <w:rFonts w:hint="eastAsia" w:asciiTheme="minorEastAsia" w:hAnsiTheme="minorEastAsia" w:eastAsiaTheme="minorEastAsia" w:cstheme="minorEastAsia"/>
          <w:b/>
          <w:bCs/>
          <w:color w:val="auto"/>
          <w:sz w:val="21"/>
          <w:szCs w:val="21"/>
          <w:highlight w:val="none"/>
          <w:lang w:eastAsia="zh-CN"/>
        </w:rPr>
        <w:t>三、竞争性磋商响应文件的编制</w:t>
      </w:r>
      <w:bookmarkEnd w:id="20"/>
      <w:bookmarkEnd w:id="21"/>
    </w:p>
    <w:p w14:paraId="3994E542">
      <w:pPr>
        <w:spacing w:line="360" w:lineRule="auto"/>
        <w:ind w:left="100" w:right="3015"/>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10.竞争性磋商响应文件</w:t>
      </w:r>
    </w:p>
    <w:p w14:paraId="12BEF800">
      <w:pPr>
        <w:pStyle w:val="10"/>
        <w:spacing w:before="0" w:line="360" w:lineRule="auto"/>
        <w:ind w:left="100" w:firstLine="42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eastAsia="zh-CN"/>
        </w:rPr>
        <w:t>10.1 竞争性磋商响应文件的组成（按照第六章格式要求</w:t>
      </w:r>
      <w:r>
        <w:rPr>
          <w:rFonts w:hint="eastAsia" w:asciiTheme="minorEastAsia" w:hAnsiTheme="minorEastAsia" w:eastAsiaTheme="minorEastAsia" w:cstheme="minorEastAsia"/>
          <w:color w:val="auto"/>
          <w:sz w:val="21"/>
          <w:szCs w:val="21"/>
          <w:highlight w:val="none"/>
          <w:lang w:val="en-US" w:eastAsia="zh-CN"/>
        </w:rPr>
        <w:t>盖章或</w:t>
      </w:r>
      <w:r>
        <w:rPr>
          <w:rFonts w:hint="eastAsia" w:asciiTheme="minorEastAsia" w:hAnsiTheme="minorEastAsia" w:eastAsiaTheme="minorEastAsia" w:cstheme="minorEastAsia"/>
          <w:color w:val="auto"/>
          <w:sz w:val="21"/>
          <w:szCs w:val="21"/>
          <w:highlight w:val="none"/>
          <w:lang w:eastAsia="zh-CN"/>
        </w:rPr>
        <w:t>签字，否则其投标无效。）</w:t>
      </w:r>
    </w:p>
    <w:p w14:paraId="102CA86D">
      <w:pPr>
        <w:pStyle w:val="10"/>
        <w:spacing w:before="0" w:line="360" w:lineRule="auto"/>
        <w:ind w:left="100" w:firstLine="42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一、</w:t>
      </w:r>
      <w:r>
        <w:rPr>
          <w:rFonts w:hint="eastAsia" w:asciiTheme="minorEastAsia" w:hAnsiTheme="minorEastAsia" w:eastAsiaTheme="minorEastAsia" w:cstheme="minorEastAsia"/>
          <w:color w:val="auto"/>
          <w:sz w:val="21"/>
          <w:szCs w:val="21"/>
          <w:highlight w:val="none"/>
          <w:lang w:val="en-US" w:eastAsia="zh-CN"/>
        </w:rPr>
        <w:t>竞标</w:t>
      </w:r>
      <w:r>
        <w:rPr>
          <w:rFonts w:hint="eastAsia" w:asciiTheme="minorEastAsia" w:hAnsiTheme="minorEastAsia" w:eastAsiaTheme="minorEastAsia" w:cstheme="minorEastAsia"/>
          <w:color w:val="auto"/>
          <w:sz w:val="21"/>
          <w:szCs w:val="21"/>
          <w:highlight w:val="none"/>
          <w:lang w:eastAsia="zh-CN"/>
        </w:rPr>
        <w:t>函</w:t>
      </w:r>
    </w:p>
    <w:p w14:paraId="7976D334">
      <w:pPr>
        <w:pStyle w:val="10"/>
        <w:spacing w:before="0" w:line="360" w:lineRule="auto"/>
        <w:ind w:left="100" w:firstLine="42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二、法定代表人身份证明或附有法定代表人身份证明的授权委托书</w:t>
      </w:r>
    </w:p>
    <w:p w14:paraId="286C894B">
      <w:pPr>
        <w:pStyle w:val="10"/>
        <w:spacing w:before="0" w:line="360" w:lineRule="auto"/>
        <w:ind w:left="100" w:firstLine="42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三</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竞标报价表</w:t>
      </w:r>
    </w:p>
    <w:p w14:paraId="01586E33">
      <w:pPr>
        <w:keepNext w:val="0"/>
        <w:keepLines w:val="0"/>
        <w:kinsoku/>
        <w:wordWrap/>
        <w:overflowPunct/>
        <w:topLinePunct w:val="0"/>
        <w:bidi w:val="0"/>
        <w:snapToGrid/>
        <w:spacing w:line="360" w:lineRule="exact"/>
        <w:ind w:firstLine="525" w:firstLineChars="250"/>
        <w:textAlignment w:val="auto"/>
        <w:rPr>
          <w:rFonts w:hint="eastAsia" w:ascii="宋体" w:hAnsi="宋体" w:eastAsia="宋体" w:cs="宋体"/>
          <w:color w:val="auto"/>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四</w:t>
      </w:r>
      <w:r>
        <w:rPr>
          <w:rFonts w:hint="eastAsia" w:asciiTheme="minorEastAsia" w:hAnsiTheme="minorEastAsia" w:eastAsiaTheme="minorEastAsia" w:cstheme="minorEastAsia"/>
          <w:color w:val="auto"/>
          <w:sz w:val="21"/>
          <w:szCs w:val="21"/>
          <w:highlight w:val="none"/>
          <w:lang w:eastAsia="zh-CN"/>
        </w:rPr>
        <w:t>、</w:t>
      </w:r>
      <w:r>
        <w:rPr>
          <w:rFonts w:hint="eastAsia" w:ascii="宋体" w:hAnsi="宋体" w:eastAsia="宋体" w:cs="宋体"/>
          <w:color w:val="auto"/>
          <w:szCs w:val="21"/>
          <w:highlight w:val="none"/>
          <w:lang w:val="en-US" w:eastAsia="zh-CN"/>
        </w:rPr>
        <w:t>竞标</w:t>
      </w:r>
      <w:r>
        <w:rPr>
          <w:rFonts w:hint="eastAsia" w:ascii="宋体" w:hAnsi="宋体" w:eastAsia="宋体" w:cs="宋体"/>
          <w:color w:val="auto"/>
          <w:szCs w:val="21"/>
          <w:highlight w:val="none"/>
        </w:rPr>
        <w:t>人基本情况登记表；</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须附：</w:t>
      </w:r>
      <w:r>
        <w:rPr>
          <w:rFonts w:hint="eastAsia" w:ascii="宋体" w:hAnsi="宋体" w:eastAsia="宋体" w:cs="宋体"/>
          <w:b/>
          <w:bCs/>
          <w:color w:val="auto"/>
          <w:szCs w:val="21"/>
          <w:highlight w:val="none"/>
          <w:lang w:val="en-US" w:eastAsia="zh-CN"/>
        </w:rPr>
        <w:t>a.</w:t>
      </w:r>
      <w:r>
        <w:rPr>
          <w:rFonts w:hint="eastAsia" w:ascii="宋体" w:hAnsi="宋体" w:eastAsia="宋体" w:cs="宋体"/>
          <w:color w:val="auto"/>
          <w:szCs w:val="21"/>
          <w:highlight w:val="none"/>
        </w:rPr>
        <w:t>企业有效的营业执照复印件并加盖投标单位公章。</w:t>
      </w:r>
      <w:r>
        <w:rPr>
          <w:rFonts w:hint="eastAsia" w:ascii="宋体" w:hAnsi="宋体" w:eastAsia="宋体" w:cs="宋体"/>
          <w:b/>
          <w:bCs/>
          <w:color w:val="auto"/>
          <w:szCs w:val="21"/>
          <w:highlight w:val="none"/>
          <w:lang w:val="en-US" w:eastAsia="zh-CN"/>
        </w:rPr>
        <w:t>b</w:t>
      </w:r>
      <w:r>
        <w:rPr>
          <w:rFonts w:hint="eastAsia" w:ascii="宋体" w:hAnsi="宋体" w:eastAsia="宋体" w:cs="宋体"/>
          <w:b/>
          <w:bCs/>
          <w:color w:val="auto"/>
          <w:szCs w:val="21"/>
          <w:highlight w:val="none"/>
        </w:rPr>
        <w:t>.</w:t>
      </w:r>
      <w:r>
        <w:rPr>
          <w:rFonts w:hint="eastAsia" w:ascii="宋体" w:hAnsi="宋体" w:eastAsia="宋体" w:cs="宋体"/>
          <w:color w:val="auto"/>
          <w:szCs w:val="21"/>
          <w:highlight w:val="none"/>
          <w:lang w:val="en-US" w:eastAsia="zh-CN"/>
        </w:rPr>
        <w:t>投标</w:t>
      </w:r>
      <w:r>
        <w:rPr>
          <w:rFonts w:hint="eastAsia" w:ascii="宋体" w:hAnsi="宋体" w:cs="宋体"/>
          <w:color w:val="auto"/>
          <w:szCs w:val="21"/>
          <w:highlight w:val="none"/>
          <w:lang w:val="en-US" w:eastAsia="zh-CN"/>
        </w:rPr>
        <w:t>人2022年度或2023年度</w:t>
      </w:r>
      <w:r>
        <w:rPr>
          <w:rFonts w:hint="eastAsia" w:ascii="宋体" w:hAnsi="宋体" w:eastAsia="宋体" w:cs="宋体"/>
          <w:color w:val="auto"/>
          <w:szCs w:val="21"/>
          <w:highlight w:val="none"/>
          <w:lang w:eastAsia="zh-CN"/>
        </w:rPr>
        <w:t>的财务报表或审计报告复印件</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报表或报告至少包含资产负债表</w:t>
      </w:r>
      <w:r>
        <w:rPr>
          <w:rFonts w:hint="eastAsia" w:ascii="宋体" w:hAnsi="宋体" w:eastAsia="宋体" w:cs="宋体"/>
          <w:color w:val="auto"/>
          <w:szCs w:val="21"/>
          <w:highlight w:val="none"/>
        </w:rPr>
        <w:t>、现金流量表、利润表）并加盖投标单位公章。对于从取得营业执照时间起到投标截止时间为止不足要求年数的企业，只需提交企业取得营业执照年份至所要求最近年份的财务报表。</w:t>
      </w:r>
      <w:r>
        <w:rPr>
          <w:rFonts w:hint="eastAsia" w:ascii="宋体" w:hAnsi="宋体" w:eastAsia="宋体" w:cs="宋体"/>
          <w:b/>
          <w:bCs/>
          <w:color w:val="auto"/>
          <w:szCs w:val="21"/>
          <w:highlight w:val="none"/>
          <w:lang w:val="en-US" w:eastAsia="zh-CN"/>
        </w:rPr>
        <w:t>c</w:t>
      </w:r>
      <w:r>
        <w:rPr>
          <w:rFonts w:hint="eastAsia" w:ascii="宋体" w:hAnsi="宋体" w:eastAsia="宋体" w:cs="宋体"/>
          <w:b/>
          <w:bCs/>
          <w:color w:val="auto"/>
          <w:szCs w:val="21"/>
          <w:highlight w:val="none"/>
        </w:rPr>
        <w:t>.</w:t>
      </w:r>
      <w:r>
        <w:rPr>
          <w:rFonts w:hint="eastAsia" w:ascii="宋体" w:hAnsi="宋体" w:eastAsia="宋体" w:cs="宋体"/>
          <w:color w:val="auto"/>
          <w:szCs w:val="21"/>
          <w:highlight w:val="none"/>
        </w:rPr>
        <w:t>附投标人截至投标截止日</w:t>
      </w:r>
      <w:r>
        <w:rPr>
          <w:rFonts w:hint="eastAsia" w:ascii="宋体" w:hAnsi="宋体" w:cs="宋体"/>
          <w:color w:val="auto"/>
          <w:szCs w:val="21"/>
          <w:highlight w:val="none"/>
          <w:lang w:eastAsia="zh-CN"/>
        </w:rPr>
        <w:t>前三个月（2024年</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lang w:eastAsia="zh-CN"/>
        </w:rPr>
        <w:t>月-</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lang w:eastAsia="zh-CN"/>
        </w:rPr>
        <w:t>月）内任意一个月</w:t>
      </w:r>
      <w:r>
        <w:rPr>
          <w:rFonts w:hint="eastAsia" w:ascii="宋体" w:hAnsi="宋体" w:eastAsia="宋体" w:cs="宋体"/>
          <w:color w:val="auto"/>
          <w:szCs w:val="21"/>
          <w:highlight w:val="none"/>
        </w:rPr>
        <w:t>的“中华人民共和国税收转账专用完税证”复印件或电子缴税付款凭证复印件或税务征收机关出具的依法缴纳税收证明复印件或零申报的税务申报表复印件并加盖投标单位公章。</w:t>
      </w:r>
      <w:r>
        <w:rPr>
          <w:rFonts w:hint="eastAsia" w:ascii="宋体" w:hAnsi="宋体" w:eastAsia="宋体" w:cs="宋体"/>
          <w:b/>
          <w:bCs/>
          <w:color w:val="auto"/>
          <w:szCs w:val="21"/>
          <w:highlight w:val="none"/>
          <w:lang w:val="en-US" w:eastAsia="zh-CN"/>
        </w:rPr>
        <w:t>d</w:t>
      </w:r>
      <w:r>
        <w:rPr>
          <w:rFonts w:hint="eastAsia" w:ascii="宋体" w:hAnsi="宋体" w:eastAsia="宋体" w:cs="宋体"/>
          <w:b/>
          <w:bCs/>
          <w:color w:val="auto"/>
          <w:szCs w:val="21"/>
          <w:highlight w:val="none"/>
        </w:rPr>
        <w:t>.</w:t>
      </w:r>
      <w:r>
        <w:rPr>
          <w:rFonts w:hint="eastAsia" w:ascii="宋体" w:hAnsi="宋体" w:eastAsia="宋体" w:cs="宋体"/>
          <w:color w:val="auto"/>
          <w:szCs w:val="21"/>
          <w:highlight w:val="none"/>
        </w:rPr>
        <w:t>附投标人截至投标截止日</w:t>
      </w:r>
      <w:r>
        <w:rPr>
          <w:rFonts w:hint="eastAsia" w:ascii="宋体" w:hAnsi="宋体" w:cs="宋体"/>
          <w:color w:val="auto"/>
          <w:szCs w:val="21"/>
          <w:highlight w:val="none"/>
          <w:lang w:eastAsia="zh-CN"/>
        </w:rPr>
        <w:t>前三个月（2024年</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lang w:eastAsia="zh-CN"/>
        </w:rPr>
        <w:t>月-</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lang w:eastAsia="zh-CN"/>
        </w:rPr>
        <w:t>月）内任意一个月</w:t>
      </w:r>
      <w:r>
        <w:rPr>
          <w:rFonts w:hint="eastAsia" w:ascii="宋体" w:hAnsi="宋体" w:eastAsia="宋体" w:cs="宋体"/>
          <w:color w:val="auto"/>
          <w:szCs w:val="21"/>
          <w:highlight w:val="none"/>
        </w:rPr>
        <w:t>的“社会保障基金专用收款收据”复印件或电子付款凭证复印件或人力资源与社会保障局（社保中心或劳动监察部门或税务征收机关）出具的依法缴纳社保证明复印件并加盖投标单位公章。</w:t>
      </w:r>
      <w:r>
        <w:rPr>
          <w:rFonts w:hint="eastAsia" w:ascii="宋体" w:hAnsi="宋体" w:eastAsia="宋体" w:cs="宋体"/>
          <w:color w:val="auto"/>
          <w:szCs w:val="21"/>
          <w:highlight w:val="none"/>
          <w:lang w:eastAsia="zh-CN"/>
        </w:rPr>
        <w:t>】</w:t>
      </w:r>
    </w:p>
    <w:p w14:paraId="04ED8ABC">
      <w:pPr>
        <w:pStyle w:val="10"/>
        <w:spacing w:before="0" w:line="360" w:lineRule="auto"/>
        <w:ind w:left="100" w:firstLine="420"/>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五、</w:t>
      </w:r>
      <w:r>
        <w:rPr>
          <w:rFonts w:hint="eastAsia" w:cs="宋体"/>
          <w:color w:val="auto"/>
          <w:lang w:val="en-US" w:eastAsia="zh-CN"/>
        </w:rPr>
        <w:t>竞标</w:t>
      </w:r>
      <w:r>
        <w:rPr>
          <w:rFonts w:hint="eastAsia" w:ascii="宋体" w:hAnsi="宋体" w:eastAsia="宋体" w:cs="宋体"/>
          <w:color w:val="auto"/>
        </w:rPr>
        <w:t>人有效的</w:t>
      </w:r>
      <w:r>
        <w:rPr>
          <w:rFonts w:hint="eastAsia" w:ascii="宋体" w:hAnsi="宋体" w:cs="宋体"/>
          <w:bCs/>
          <w:color w:val="auto"/>
          <w:szCs w:val="21"/>
        </w:rPr>
        <w:t>须具备工程勘察综合类</w:t>
      </w:r>
      <w:r>
        <w:rPr>
          <w:rFonts w:hint="eastAsia" w:ascii="宋体" w:hAnsi="宋体" w:cs="宋体"/>
          <w:bCs/>
          <w:color w:val="auto"/>
          <w:szCs w:val="21"/>
          <w:lang w:val="en-US" w:eastAsia="zh-CN"/>
        </w:rPr>
        <w:t>甲</w:t>
      </w:r>
      <w:r>
        <w:rPr>
          <w:rFonts w:hint="eastAsia" w:ascii="宋体" w:hAnsi="宋体" w:cs="宋体"/>
          <w:bCs/>
          <w:color w:val="auto"/>
          <w:szCs w:val="21"/>
        </w:rPr>
        <w:t>级或工程勘察专业类岩土工程勘察</w:t>
      </w:r>
      <w:r>
        <w:rPr>
          <w:rFonts w:hint="eastAsia" w:ascii="宋体" w:hAnsi="宋体" w:cs="宋体"/>
          <w:bCs/>
          <w:color w:val="auto"/>
          <w:szCs w:val="21"/>
          <w:lang w:val="en-US" w:eastAsia="zh-CN"/>
        </w:rPr>
        <w:t>乙</w:t>
      </w:r>
      <w:r>
        <w:rPr>
          <w:rFonts w:hint="eastAsia" w:ascii="宋体" w:hAnsi="宋体" w:cs="宋体"/>
          <w:bCs/>
          <w:color w:val="auto"/>
          <w:szCs w:val="21"/>
        </w:rPr>
        <w:t>级及以上资质（含</w:t>
      </w:r>
      <w:r>
        <w:rPr>
          <w:rFonts w:hint="eastAsia" w:ascii="宋体" w:hAnsi="宋体" w:cs="宋体"/>
          <w:bCs/>
          <w:color w:val="auto"/>
          <w:szCs w:val="21"/>
          <w:lang w:val="en-US" w:eastAsia="zh-CN"/>
        </w:rPr>
        <w:t>乙</w:t>
      </w:r>
      <w:r>
        <w:rPr>
          <w:rFonts w:hint="eastAsia" w:ascii="宋体" w:hAnsi="宋体" w:cs="宋体"/>
          <w:bCs/>
          <w:color w:val="auto"/>
          <w:szCs w:val="21"/>
        </w:rPr>
        <w:t>级资质）</w:t>
      </w:r>
      <w:r>
        <w:rPr>
          <w:rFonts w:hint="eastAsia" w:ascii="宋体" w:hAnsi="宋体" w:cs="宋体"/>
          <w:color w:val="auto"/>
          <w:lang w:eastAsia="zh-CN"/>
        </w:rPr>
        <w:t>副本复印件并加盖投标单位公章</w:t>
      </w:r>
    </w:p>
    <w:p w14:paraId="3910DFEB">
      <w:pPr>
        <w:pStyle w:val="10"/>
        <w:spacing w:before="0" w:line="360" w:lineRule="auto"/>
        <w:ind w:left="100" w:firstLine="42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六</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项目实施方案部分（需包含项目实施方案及拟投入本项目人员等）</w:t>
      </w:r>
    </w:p>
    <w:p w14:paraId="5AD72E71">
      <w:pPr>
        <w:pStyle w:val="10"/>
        <w:spacing w:before="0" w:line="360" w:lineRule="auto"/>
        <w:ind w:left="100" w:firstLine="42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七、</w:t>
      </w:r>
      <w:r>
        <w:rPr>
          <w:rFonts w:hint="eastAsia" w:asciiTheme="minorEastAsia" w:hAnsiTheme="minorEastAsia" w:eastAsiaTheme="minorEastAsia" w:cstheme="minorEastAsia"/>
          <w:color w:val="auto"/>
          <w:sz w:val="21"/>
          <w:szCs w:val="21"/>
          <w:highlight w:val="none"/>
          <w:lang w:eastAsia="zh-CN"/>
        </w:rPr>
        <w:t>资格审查资料</w:t>
      </w:r>
    </w:p>
    <w:p w14:paraId="69A0302F">
      <w:pPr>
        <w:pStyle w:val="10"/>
        <w:spacing w:before="0" w:line="360" w:lineRule="auto"/>
        <w:ind w:left="100" w:firstLine="42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八</w:t>
      </w:r>
      <w:r>
        <w:rPr>
          <w:rFonts w:hint="eastAsia" w:asciiTheme="minorEastAsia" w:hAnsiTheme="minorEastAsia" w:eastAsiaTheme="minorEastAsia" w:cstheme="minorEastAsia"/>
          <w:color w:val="auto"/>
          <w:sz w:val="21"/>
          <w:szCs w:val="21"/>
          <w:highlight w:val="none"/>
          <w:lang w:eastAsia="zh-CN"/>
        </w:rPr>
        <w:t>、其他材料</w:t>
      </w:r>
    </w:p>
    <w:p w14:paraId="29E0A2FC">
      <w:pPr>
        <w:pStyle w:val="10"/>
        <w:spacing w:before="0" w:line="360" w:lineRule="auto"/>
        <w:ind w:right="3015"/>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10.2竞争性磋商响应文件编制要求</w:t>
      </w:r>
    </w:p>
    <w:p w14:paraId="42678820">
      <w:pPr>
        <w:pStyle w:val="10"/>
        <w:spacing w:before="0" w:line="360" w:lineRule="auto"/>
        <w:ind w:left="100" w:firstLine="42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10.2.1 供应商应按竞争性磋商文件提供的竞争性磋商申请格式和要求编制竞争性磋商响应文件。竞争性磋商响应文件应按 A4 规格标准打印，胶装成册，文字要清晰，语意要明确，并按竞争性磋商文件的要求签字盖章。</w:t>
      </w:r>
    </w:p>
    <w:p w14:paraId="19BF5F65">
      <w:pPr>
        <w:pStyle w:val="10"/>
        <w:spacing w:before="0" w:line="360" w:lineRule="auto"/>
        <w:ind w:left="100" w:firstLine="42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10.2.2 竞争性磋商响应文件应尽量避免涂改和插字，若为了改正错误必须这样做时，均应由法定代表人(或委托代理人)在修改处签名或加单位公章确认。</w:t>
      </w:r>
    </w:p>
    <w:p w14:paraId="7DFA80B3">
      <w:pPr>
        <w:pStyle w:val="10"/>
        <w:spacing w:before="0" w:line="360" w:lineRule="auto"/>
        <w:ind w:left="100" w:firstLine="42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10.2.3 竞争性磋商响应文件正本和副本的封面或扉页应标明的内容详见“磋商响应文件格式”。</w:t>
      </w:r>
    </w:p>
    <w:p w14:paraId="3028BE58">
      <w:pPr>
        <w:pStyle w:val="10"/>
        <w:spacing w:before="0" w:line="360" w:lineRule="auto"/>
        <w:ind w:left="100" w:firstLine="42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10.2.4 竞争性磋商响应文件的封面上应分别标明“正本”或“副本”字样。</w:t>
      </w:r>
    </w:p>
    <w:p w14:paraId="028270C5">
      <w:pPr>
        <w:pStyle w:val="10"/>
        <w:spacing w:before="0" w:line="360" w:lineRule="auto"/>
        <w:ind w:left="100" w:firstLine="42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 xml:space="preserve">10.3 竞争性磋商响应文件的份数，竞争性磋商响应文件一式叁份，其中正本壹份，副本贰份，电子文档壹份（U盘），正本与副本不一致时以正本为准。    </w:t>
      </w:r>
    </w:p>
    <w:p w14:paraId="64F554DC">
      <w:pPr>
        <w:pStyle w:val="10"/>
        <w:spacing w:before="0" w:line="360" w:lineRule="auto"/>
        <w:ind w:left="100" w:firstLine="42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10.4竞争性磋商响应文件的修改与撤回</w:t>
      </w:r>
    </w:p>
    <w:p w14:paraId="66860851">
      <w:pPr>
        <w:pStyle w:val="10"/>
        <w:spacing w:before="0" w:line="360" w:lineRule="auto"/>
        <w:ind w:left="100" w:firstLine="42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如供应商需要修改或撤回其竞争性磋商响应文件，必须在本竞争性磋商文件规定的竞争性磋商申请截止时间前将修改或撤回其竞争性磋商响应文件的书面通知送达采购单位。上述书面通知应按本竞争性磋商文件的规定进行编制、密封和标记，并标明“修改”或“撤回”字样。供应商不得在竞争性磋商申请截止 时间后修改和撤回竞争性磋商响应文件。</w:t>
      </w:r>
    </w:p>
    <w:p w14:paraId="2F4887B9">
      <w:pPr>
        <w:pStyle w:val="10"/>
        <w:spacing w:before="0" w:line="360" w:lineRule="auto"/>
        <w:ind w:right="3015"/>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10.5竞争性磋商响应文件有效期</w:t>
      </w:r>
    </w:p>
    <w:p w14:paraId="47182B8F">
      <w:pPr>
        <w:pStyle w:val="10"/>
        <w:spacing w:before="0" w:line="360" w:lineRule="auto"/>
        <w:ind w:left="100" w:right="99" w:firstLine="42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竞争性磋商响应文件自本竞争性磋商文件规定的递交响应文件截止时间起生效，其有效期为60天(日历天)。</w:t>
      </w:r>
    </w:p>
    <w:p w14:paraId="2F2645D5">
      <w:pPr>
        <w:pStyle w:val="10"/>
        <w:spacing w:before="0" w:line="360" w:lineRule="auto"/>
        <w:ind w:right="3015"/>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10.6特别说明</w:t>
      </w:r>
    </w:p>
    <w:p w14:paraId="22BA057D">
      <w:pPr>
        <w:pStyle w:val="10"/>
        <w:spacing w:before="0" w:line="360" w:lineRule="auto"/>
        <w:ind w:left="100" w:firstLine="42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10.6.1 竞争性磋商申请语言：供应商提交的竞争性磋商响应文件以及供应商与采购代理机构就有关竞争性磋商申请的所有往来函电均应使用中文。供应商提供的支持文件和印刷的文件可以用英文，但相应内容应附有中文翻译本，在解释时以中文翻译本为准。</w:t>
      </w:r>
    </w:p>
    <w:p w14:paraId="1A50660E">
      <w:pPr>
        <w:pStyle w:val="10"/>
        <w:spacing w:before="0" w:line="360" w:lineRule="auto"/>
        <w:ind w:left="100" w:firstLine="42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10.6.2</w:t>
      </w:r>
      <w:r>
        <w:rPr>
          <w:rFonts w:hint="eastAsia" w:asciiTheme="minorEastAsia" w:hAnsiTheme="minorEastAsia" w:eastAsiaTheme="minorEastAsia" w:cstheme="minorEastAsia"/>
          <w:color w:val="auto"/>
          <w:spacing w:val="-2"/>
          <w:sz w:val="21"/>
          <w:szCs w:val="21"/>
          <w:highlight w:val="none"/>
          <w:lang w:eastAsia="zh-CN"/>
        </w:rPr>
        <w:t>计量：在竞争性磋商响应文件中以及所有供应商与采购代理机构往来文件中的所有计量单位和</w:t>
      </w:r>
      <w:r>
        <w:rPr>
          <w:rFonts w:hint="eastAsia" w:asciiTheme="minorEastAsia" w:hAnsiTheme="minorEastAsia" w:eastAsiaTheme="minorEastAsia" w:cstheme="minorEastAsia"/>
          <w:color w:val="auto"/>
          <w:sz w:val="21"/>
          <w:szCs w:val="21"/>
          <w:highlight w:val="none"/>
          <w:lang w:eastAsia="zh-CN"/>
        </w:rPr>
        <w:t>规格说明都必须用公制标准表示。</w:t>
      </w:r>
    </w:p>
    <w:p w14:paraId="6C55CF2B">
      <w:pPr>
        <w:pStyle w:val="10"/>
        <w:spacing w:before="0" w:line="360" w:lineRule="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10.7竞争性磋商申请服务的报价</w:t>
      </w:r>
    </w:p>
    <w:p w14:paraId="2C84EE41">
      <w:pPr>
        <w:pStyle w:val="10"/>
        <w:spacing w:before="0" w:line="360" w:lineRule="auto"/>
        <w:ind w:left="100" w:firstLine="42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10.7.1 供应商根据按磋商文件要求完成报价，采购人有权进行核实。且供应商报出的价格为包含所有税费的价格。</w:t>
      </w:r>
    </w:p>
    <w:p w14:paraId="4A81C160">
      <w:pPr>
        <w:pStyle w:val="10"/>
        <w:spacing w:before="0" w:line="360" w:lineRule="auto"/>
        <w:ind w:left="100" w:firstLine="42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10.7.2 如竞争性磋商申请报价表中的大写金额和小写金额不一致的，以大写金额为准；总价金额与单价金额不一致的，以单价金额为准，但单价金额小数点有明显错误的除外；对不同文字文本竞争性磋商响 应文件的解释发生异议的，以中文文本为准。</w:t>
      </w:r>
    </w:p>
    <w:p w14:paraId="343521FA">
      <w:pPr>
        <w:pStyle w:val="10"/>
        <w:spacing w:before="0" w:line="360" w:lineRule="auto"/>
        <w:ind w:left="100" w:firstLine="42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10.7.3 全部报价均应以人民币为计量币种，并以人民币进行结算。</w:t>
      </w:r>
      <w:bookmarkStart w:id="22" w:name="_bookmark5"/>
      <w:bookmarkEnd w:id="22"/>
      <w:bookmarkStart w:id="23" w:name="四、竞争性磋商响应文件的密封与递交"/>
      <w:bookmarkEnd w:id="23"/>
    </w:p>
    <w:p w14:paraId="581E59CC">
      <w:pPr>
        <w:spacing w:line="360" w:lineRule="auto"/>
        <w:outlineLvl w:val="1"/>
        <w:rPr>
          <w:rFonts w:hint="eastAsia" w:asciiTheme="minorEastAsia" w:hAnsiTheme="minorEastAsia" w:eastAsiaTheme="minorEastAsia" w:cstheme="minorEastAsia"/>
          <w:color w:val="auto"/>
          <w:sz w:val="21"/>
          <w:szCs w:val="21"/>
          <w:highlight w:val="none"/>
          <w:lang w:eastAsia="zh-CN"/>
        </w:rPr>
      </w:pPr>
      <w:bookmarkStart w:id="24" w:name="_Toc30505"/>
      <w:bookmarkStart w:id="25" w:name="_Toc18450"/>
      <w:r>
        <w:rPr>
          <w:rFonts w:hint="eastAsia" w:asciiTheme="minorEastAsia" w:hAnsiTheme="minorEastAsia" w:eastAsiaTheme="minorEastAsia" w:cstheme="minorEastAsia"/>
          <w:b/>
          <w:bCs/>
          <w:color w:val="auto"/>
          <w:sz w:val="21"/>
          <w:szCs w:val="21"/>
          <w:highlight w:val="none"/>
          <w:lang w:eastAsia="zh-CN"/>
        </w:rPr>
        <w:t>四、竞争性磋商响应文件的密封与递交</w:t>
      </w:r>
      <w:bookmarkEnd w:id="24"/>
      <w:bookmarkEnd w:id="25"/>
    </w:p>
    <w:p w14:paraId="3A0048F5">
      <w:pPr>
        <w:spacing w:line="360" w:lineRule="auto"/>
        <w:ind w:left="1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12.竞争性磋商响应文件的密封</w:t>
      </w:r>
    </w:p>
    <w:p w14:paraId="7251321D">
      <w:pPr>
        <w:pStyle w:val="10"/>
        <w:spacing w:before="0" w:line="360" w:lineRule="auto"/>
        <w:ind w:left="100" w:firstLine="42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12.1 正本、副本和电子版应分别包装并密封，在封口处加盖公章，每一份磋商文件上应明确注明“正本”或“副本”字样。一旦正本和副本内容有差异，以正本为准。</w:t>
      </w:r>
    </w:p>
    <w:p w14:paraId="10A5170D">
      <w:pPr>
        <w:pStyle w:val="10"/>
        <w:spacing w:before="0" w:line="360" w:lineRule="auto"/>
        <w:ind w:left="100" w:firstLine="42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12.2 密封文件封套正面须标明以下字样：</w:t>
      </w:r>
    </w:p>
    <w:p w14:paraId="253E4942">
      <w:pPr>
        <w:widowControl/>
        <w:spacing w:line="360" w:lineRule="auto"/>
        <w:jc w:val="righ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正本/副本/电子版</w:t>
      </w:r>
    </w:p>
    <w:p w14:paraId="4E58216C">
      <w:pPr>
        <w:pStyle w:val="10"/>
        <w:spacing w:before="0" w:line="360" w:lineRule="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供应商名称：</w:t>
      </w:r>
    </w:p>
    <w:p w14:paraId="5994D997">
      <w:pPr>
        <w:pStyle w:val="10"/>
        <w:spacing w:before="0" w:line="360" w:lineRule="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地址：</w:t>
      </w:r>
    </w:p>
    <w:p w14:paraId="6C15BB88">
      <w:pPr>
        <w:pStyle w:val="10"/>
        <w:spacing w:before="0" w:line="360" w:lineRule="auto"/>
        <w:ind w:left="0" w:firstLine="42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（项目名称）响应性文件</w:t>
      </w:r>
    </w:p>
    <w:p w14:paraId="1C273432">
      <w:pPr>
        <w:pStyle w:val="10"/>
        <w:spacing w:before="0" w:line="360" w:lineRule="auto"/>
        <w:ind w:left="0" w:firstLine="42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在</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lang w:eastAsia="zh-CN"/>
        </w:rPr>
        <w:t>年</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lang w:eastAsia="zh-CN"/>
        </w:rPr>
        <w:t>月</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lang w:eastAsia="zh-CN"/>
        </w:rPr>
        <w:t>日时分前不得开启</w:t>
      </w:r>
    </w:p>
    <w:p w14:paraId="589CA6A8">
      <w:pPr>
        <w:pStyle w:val="10"/>
        <w:spacing w:before="0" w:line="360" w:lineRule="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12.3采购方不接收未按上述要求制作的磋商响应文件。</w:t>
      </w:r>
    </w:p>
    <w:p w14:paraId="28A726AA">
      <w:pPr>
        <w:spacing w:line="360" w:lineRule="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13.竞争性磋商响应文件的递交</w:t>
      </w:r>
    </w:p>
    <w:p w14:paraId="13B66B02">
      <w:pPr>
        <w:pStyle w:val="10"/>
        <w:spacing w:before="0" w:line="360" w:lineRule="auto"/>
        <w:ind w:left="100" w:firstLine="42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供应商应在供应商须知前附表规定的时间将竞争性磋商响应文件递交至前附表指定的磋商地点，密封不符合本磋商文件要求的竞争性磋商响应文件将被拒收。</w:t>
      </w:r>
    </w:p>
    <w:p w14:paraId="59E86445">
      <w:pPr>
        <w:numPr>
          <w:ilvl w:val="0"/>
          <w:numId w:val="3"/>
        </w:numPr>
        <w:spacing w:line="360" w:lineRule="auto"/>
        <w:ind w:left="520" w:right="1956" w:hanging="420"/>
        <w:rPr>
          <w:rFonts w:hint="eastAsia" w:asciiTheme="minorEastAsia" w:hAnsiTheme="minorEastAsia" w:eastAsiaTheme="minorEastAsia" w:cstheme="minorEastAsia"/>
          <w:b/>
          <w:bCs/>
          <w:color w:val="auto"/>
          <w:w w:val="99"/>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竞争性磋商申请截止时间</w:t>
      </w:r>
    </w:p>
    <w:p w14:paraId="42E0A6FD">
      <w:pPr>
        <w:pStyle w:val="10"/>
        <w:spacing w:before="0" w:line="360" w:lineRule="auto"/>
        <w:ind w:left="100" w:firstLine="42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竞争性磋商申请截止时间为供应商须知前附表规定的时间。</w:t>
      </w:r>
    </w:p>
    <w:p w14:paraId="569813C3">
      <w:pPr>
        <w:numPr>
          <w:ilvl w:val="0"/>
          <w:numId w:val="3"/>
        </w:numPr>
        <w:spacing w:line="360" w:lineRule="auto"/>
        <w:ind w:left="520" w:hanging="420"/>
        <w:rPr>
          <w:rFonts w:hint="eastAsia" w:asciiTheme="minorEastAsia" w:hAnsiTheme="minorEastAsia" w:eastAsiaTheme="minorEastAsia" w:cstheme="minorEastAsia"/>
          <w:b/>
          <w:bCs/>
          <w:color w:val="auto"/>
          <w:w w:val="99"/>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迟到的竞争性磋商响应文件</w:t>
      </w:r>
    </w:p>
    <w:p w14:paraId="050EE4D0">
      <w:pPr>
        <w:pStyle w:val="10"/>
        <w:spacing w:before="0" w:line="360" w:lineRule="auto"/>
        <w:ind w:left="100" w:firstLine="42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在本竞争性磋商文件规定的竞争性磋商申请截止时间以后送达的竞争性磋商响应文件，采购单位将拒收。</w:t>
      </w:r>
      <w:bookmarkStart w:id="26" w:name="五、竞争性磋商程序"/>
      <w:bookmarkEnd w:id="26"/>
      <w:bookmarkStart w:id="27" w:name="_bookmark6"/>
      <w:bookmarkEnd w:id="27"/>
    </w:p>
    <w:p w14:paraId="142FCCE1">
      <w:pPr>
        <w:numPr>
          <w:ilvl w:val="0"/>
          <w:numId w:val="3"/>
        </w:numPr>
        <w:spacing w:line="360" w:lineRule="auto"/>
        <w:ind w:left="520" w:hanging="420"/>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竞争性磋商程序</w:t>
      </w:r>
    </w:p>
    <w:p w14:paraId="6E8AFE29">
      <w:pPr>
        <w:spacing w:line="360" w:lineRule="auto"/>
        <w:ind w:left="100" w:right="755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16.磋商</w:t>
      </w:r>
    </w:p>
    <w:p w14:paraId="62C62047">
      <w:pPr>
        <w:pStyle w:val="10"/>
        <w:spacing w:before="0" w:line="360" w:lineRule="auto"/>
        <w:ind w:left="100" w:firstLine="42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16.1</w:t>
      </w:r>
      <w:r>
        <w:rPr>
          <w:rFonts w:hint="eastAsia" w:asciiTheme="minorEastAsia" w:hAnsiTheme="minorEastAsia" w:eastAsiaTheme="minorEastAsia" w:cstheme="minorEastAsia"/>
          <w:color w:val="auto"/>
          <w:spacing w:val="-2"/>
          <w:sz w:val="21"/>
          <w:szCs w:val="21"/>
          <w:highlight w:val="none"/>
          <w:lang w:eastAsia="zh-CN"/>
        </w:rPr>
        <w:t>磋商在供应商须知前附表中规定的时间和地点进行。供应商法人授权代表应持授权委托书与身份</w:t>
      </w:r>
      <w:r>
        <w:rPr>
          <w:rFonts w:hint="eastAsia" w:asciiTheme="minorEastAsia" w:hAnsiTheme="minorEastAsia" w:eastAsiaTheme="minorEastAsia" w:cstheme="minorEastAsia"/>
          <w:color w:val="auto"/>
          <w:sz w:val="21"/>
          <w:szCs w:val="21"/>
          <w:highlight w:val="none"/>
          <w:lang w:eastAsia="zh-CN"/>
        </w:rPr>
        <w:t>证签到以证明其出席。</w:t>
      </w:r>
    </w:p>
    <w:p w14:paraId="28595A96">
      <w:pPr>
        <w:pStyle w:val="10"/>
        <w:spacing w:before="0" w:line="360" w:lineRule="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16.2竞争性磋商响应文件有下列情形之一的，采购代理机构不予受理</w:t>
      </w:r>
      <w:bookmarkStart w:id="28" w:name="第三章_评标办法（综合评分法）"/>
      <w:bookmarkEnd w:id="28"/>
      <w:r>
        <w:rPr>
          <w:rFonts w:hint="eastAsia" w:asciiTheme="minorEastAsia" w:hAnsiTheme="minorEastAsia" w:eastAsiaTheme="minorEastAsia" w:cstheme="minorEastAsia"/>
          <w:color w:val="auto"/>
          <w:sz w:val="21"/>
          <w:szCs w:val="21"/>
          <w:highlight w:val="none"/>
          <w:lang w:eastAsia="zh-CN"/>
        </w:rPr>
        <w:t>；</w:t>
      </w:r>
    </w:p>
    <w:p w14:paraId="3260AE1B">
      <w:pPr>
        <w:pStyle w:val="10"/>
        <w:spacing w:before="0" w:line="360" w:lineRule="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16.2.1竞争性磋商申请截止时间后送达的；</w:t>
      </w:r>
    </w:p>
    <w:p w14:paraId="34760FFF">
      <w:pPr>
        <w:pStyle w:val="10"/>
        <w:spacing w:before="0" w:line="360" w:lineRule="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16.2.2未按竞争性磋商文件要求密封及签字或盖章的；</w:t>
      </w:r>
    </w:p>
    <w:p w14:paraId="755BE3AC">
      <w:pPr>
        <w:pStyle w:val="10"/>
        <w:spacing w:before="0" w:line="360" w:lineRule="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16.2.3供应商法人授权代表未到场的。</w:t>
      </w:r>
    </w:p>
    <w:p w14:paraId="3E6B7692">
      <w:pPr>
        <w:spacing w:line="360" w:lineRule="auto"/>
        <w:ind w:left="1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17.磋商小组</w:t>
      </w:r>
    </w:p>
    <w:p w14:paraId="25D4E767">
      <w:pPr>
        <w:keepNext w:val="0"/>
        <w:keepLines w:val="0"/>
        <w:pageBreakBefore w:val="0"/>
        <w:widowControl w:val="0"/>
        <w:kinsoku/>
        <w:wordWrap/>
        <w:overflowPunct/>
        <w:topLinePunct w:val="0"/>
        <w:autoSpaceDE/>
        <w:autoSpaceDN/>
        <w:bidi w:val="0"/>
        <w:adjustRightInd/>
        <w:snapToGrid/>
        <w:spacing w:line="360" w:lineRule="auto"/>
        <w:ind w:left="0" w:right="0" w:firstLine="420"/>
        <w:textAlignment w:val="auto"/>
        <w:rPr>
          <w:rFonts w:hint="eastAsia" w:asciiTheme="minorEastAsia" w:hAnsiTheme="minorEastAsia" w:eastAsiaTheme="minorEastAsia" w:cstheme="minorEastAsia"/>
          <w:color w:val="auto"/>
          <w:w w:val="99"/>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磋商小组组成：详见须知前附表。</w:t>
      </w:r>
    </w:p>
    <w:p w14:paraId="1FDD4AD7">
      <w:pPr>
        <w:spacing w:line="360" w:lineRule="auto"/>
        <w:ind w:right="5266"/>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18.磋商原则</w:t>
      </w:r>
    </w:p>
    <w:p w14:paraId="092E4077">
      <w:pPr>
        <w:keepNext w:val="0"/>
        <w:keepLines w:val="0"/>
        <w:pageBreakBefore w:val="0"/>
        <w:widowControl w:val="0"/>
        <w:kinsoku/>
        <w:wordWrap/>
        <w:overflowPunct/>
        <w:topLinePunct w:val="0"/>
        <w:autoSpaceDE/>
        <w:autoSpaceDN/>
        <w:bidi w:val="0"/>
        <w:adjustRightInd/>
        <w:snapToGrid/>
        <w:spacing w:line="360" w:lineRule="auto"/>
        <w:ind w:left="0" w:right="0" w:firstLine="42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公开、公平、公正，科学、择</w:t>
      </w:r>
      <w:r>
        <w:rPr>
          <w:rFonts w:hint="eastAsia" w:asciiTheme="minorEastAsia" w:hAnsiTheme="minorEastAsia" w:eastAsiaTheme="minorEastAsia" w:cstheme="minorEastAsia"/>
          <w:color w:val="auto"/>
          <w:sz w:val="21"/>
          <w:szCs w:val="21"/>
          <w:highlight w:val="none"/>
          <w:lang w:val="en-US" w:eastAsia="zh-CN"/>
        </w:rPr>
        <w:t>优</w:t>
      </w:r>
      <w:r>
        <w:rPr>
          <w:rFonts w:hint="eastAsia" w:asciiTheme="minorEastAsia" w:hAnsiTheme="minorEastAsia" w:eastAsiaTheme="minorEastAsia" w:cstheme="minorEastAsia"/>
          <w:color w:val="auto"/>
          <w:sz w:val="21"/>
          <w:szCs w:val="21"/>
          <w:highlight w:val="none"/>
          <w:lang w:eastAsia="zh-CN"/>
        </w:rPr>
        <w:t>。</w:t>
      </w:r>
    </w:p>
    <w:p w14:paraId="2AAB58DD">
      <w:pPr>
        <w:spacing w:line="360" w:lineRule="auto"/>
        <w:ind w:right="5266"/>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19.磋商纪律</w:t>
      </w:r>
    </w:p>
    <w:p w14:paraId="6DA53CA7">
      <w:pPr>
        <w:pStyle w:val="10"/>
        <w:spacing w:before="0" w:line="360" w:lineRule="auto"/>
        <w:ind w:left="100" w:firstLine="42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19.1 磋商小组成员和参与磋商工作的有关人员不得透露对竞争性磋商响应文件的评审比较、中标候选人的推荐情况以及与磋商有关的其它情况。</w:t>
      </w:r>
    </w:p>
    <w:p w14:paraId="75E1ABE4">
      <w:pPr>
        <w:pStyle w:val="10"/>
        <w:spacing w:before="0" w:line="360" w:lineRule="auto"/>
        <w:ind w:left="100" w:firstLine="42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19.2 除供应商须知规定以外，授予成交通知书前，任何供应商均不得就与其竞争性磋商响应文件有关的问题主动与采购人和采购代理机构联系。</w:t>
      </w:r>
    </w:p>
    <w:p w14:paraId="7BB0817B">
      <w:pPr>
        <w:pStyle w:val="10"/>
        <w:spacing w:before="0" w:line="360" w:lineRule="auto"/>
        <w:ind w:left="100" w:firstLine="42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19.3 如果供应商试图对磋商小组的磋商施加影响，将导致该供应商的竞争性磋商响应文件被否决。</w:t>
      </w:r>
    </w:p>
    <w:p w14:paraId="3D1E08A2">
      <w:pPr>
        <w:spacing w:line="360" w:lineRule="auto"/>
        <w:ind w:left="1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20.竞争性磋商响应文件的澄清与修正</w:t>
      </w:r>
    </w:p>
    <w:p w14:paraId="07DB7382">
      <w:pPr>
        <w:pStyle w:val="10"/>
        <w:spacing w:before="0" w:line="360" w:lineRule="auto"/>
        <w:ind w:left="100" w:firstLine="42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20.1 磋商小组可以要求供应商对竞争性磋商响应文件中含义不明确的内容作必要的澄清或者说明，但是澄清或者说明不得超出竞争性磋商响应文件的范围或者改变竞争性磋商响应文件的实质性内容。澄清的要求和供应商的答复均应采取书面形式。供应商的答复必须经法定代表人或授权代表签字，作为竞争性磋商响应文件的组成部分。</w:t>
      </w:r>
    </w:p>
    <w:p w14:paraId="20F4F738">
      <w:pPr>
        <w:pStyle w:val="10"/>
        <w:spacing w:before="0" w:line="360" w:lineRule="auto"/>
        <w:ind w:left="100" w:firstLine="42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20.2 算术错误将按以下方法更正，如果供应商不接受对其错误的更正，其竞争性磋商申请将被拒绝：</w:t>
      </w:r>
    </w:p>
    <w:p w14:paraId="07339EB1">
      <w:pPr>
        <w:pStyle w:val="10"/>
        <w:spacing w:before="0" w:line="360" w:lineRule="auto"/>
        <w:ind w:left="100" w:firstLine="42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20.2.1 总价金额与单价金额不一致的，以及分项价汇总之和与总价不一致的，则以单价和分项价为准修改总价，但单价金额小数点有明显错误的除外。</w:t>
      </w:r>
    </w:p>
    <w:p w14:paraId="6FC65F21">
      <w:pPr>
        <w:pStyle w:val="10"/>
        <w:spacing w:before="0" w:line="360" w:lineRule="auto"/>
        <w:ind w:left="100" w:firstLine="42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20.2.2 如竞争性磋商申请报价表中大写金额与小写金额不一致的，以大写金额为准。</w:t>
      </w:r>
    </w:p>
    <w:p w14:paraId="426965CD">
      <w:pPr>
        <w:spacing w:line="360" w:lineRule="auto"/>
        <w:ind w:left="520" w:hanging="420"/>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21.磋商文件的初步审查</w:t>
      </w:r>
    </w:p>
    <w:p w14:paraId="07074F03">
      <w:pPr>
        <w:pStyle w:val="10"/>
        <w:spacing w:before="0" w:line="360" w:lineRule="auto"/>
        <w:ind w:left="100" w:firstLine="42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初步评审包括：形式评审、资格评审、响应性评审和磋商报价的评审。评委会首先对各供应商的磋商文件响应按照响应性评审因素进行初步评审，初步评审不合格的供应商的响应文件不得进入第二轮报价。</w:t>
      </w:r>
    </w:p>
    <w:p w14:paraId="30115A1C">
      <w:pPr>
        <w:pStyle w:val="10"/>
        <w:spacing w:before="0" w:line="360" w:lineRule="auto"/>
        <w:ind w:left="100" w:firstLine="420"/>
        <w:rPr>
          <w:rFonts w:hint="eastAsia" w:asciiTheme="minorEastAsia" w:hAnsiTheme="minorEastAsia" w:eastAsiaTheme="minorEastAsia" w:cstheme="minorEastAsia"/>
          <w:color w:val="auto"/>
          <w:sz w:val="21"/>
          <w:szCs w:val="21"/>
          <w:highlight w:val="none"/>
          <w:lang w:eastAsia="zh-CN"/>
        </w:rPr>
        <w:sectPr>
          <w:footerReference r:id="rId4" w:type="default"/>
          <w:pgSz w:w="12240" w:h="15840"/>
          <w:pgMar w:top="1440" w:right="1800" w:bottom="1440" w:left="1800" w:header="0" w:footer="1136" w:gutter="0"/>
          <w:pgBorders>
            <w:top w:val="none" w:sz="0" w:space="0"/>
            <w:left w:val="none" w:sz="0" w:space="0"/>
            <w:bottom w:val="none" w:sz="0" w:space="0"/>
            <w:right w:val="none" w:sz="0" w:space="0"/>
          </w:pgBorders>
          <w:pgNumType w:fmt="decimal"/>
          <w:cols w:space="720" w:num="1"/>
        </w:sectPr>
      </w:pPr>
    </w:p>
    <w:p w14:paraId="1FABA47D">
      <w:pPr>
        <w:spacing w:line="360" w:lineRule="auto"/>
        <w:ind w:left="2160"/>
        <w:outlineLvl w:val="0"/>
        <w:rPr>
          <w:rFonts w:hint="eastAsia" w:asciiTheme="minorEastAsia" w:hAnsiTheme="minorEastAsia" w:eastAsiaTheme="minorEastAsia" w:cstheme="minorEastAsia"/>
          <w:color w:val="auto"/>
          <w:sz w:val="36"/>
          <w:szCs w:val="36"/>
          <w:highlight w:val="none"/>
          <w:lang w:eastAsia="zh-CN"/>
        </w:rPr>
      </w:pPr>
      <w:bookmarkStart w:id="29" w:name="_bookmark7"/>
      <w:bookmarkEnd w:id="29"/>
      <w:bookmarkStart w:id="30" w:name="_Toc902"/>
      <w:bookmarkStart w:id="31" w:name="_Toc12944"/>
      <w:r>
        <w:rPr>
          <w:rFonts w:hint="eastAsia" w:asciiTheme="minorEastAsia" w:hAnsiTheme="minorEastAsia" w:eastAsiaTheme="minorEastAsia" w:cstheme="minorEastAsia"/>
          <w:b/>
          <w:bCs/>
          <w:color w:val="auto"/>
          <w:sz w:val="36"/>
          <w:szCs w:val="36"/>
          <w:highlight w:val="none"/>
          <w:lang w:eastAsia="zh-CN"/>
        </w:rPr>
        <w:t>第三章</w:t>
      </w:r>
      <w:r>
        <w:rPr>
          <w:rFonts w:hint="eastAsia" w:asciiTheme="minorEastAsia" w:hAnsiTheme="minorEastAsia" w:eastAsiaTheme="minorEastAsia" w:cstheme="minorEastAsia"/>
          <w:b/>
          <w:bCs/>
          <w:color w:val="auto"/>
          <w:sz w:val="36"/>
          <w:szCs w:val="36"/>
          <w:highlight w:val="none"/>
          <w:lang w:val="en-US" w:eastAsia="zh-CN"/>
        </w:rPr>
        <w:t xml:space="preserve"> </w:t>
      </w:r>
      <w:r>
        <w:rPr>
          <w:rFonts w:hint="eastAsia" w:asciiTheme="minorEastAsia" w:hAnsiTheme="minorEastAsia" w:eastAsiaTheme="minorEastAsia" w:cstheme="minorEastAsia"/>
          <w:b/>
          <w:bCs/>
          <w:color w:val="auto"/>
          <w:sz w:val="36"/>
          <w:szCs w:val="36"/>
          <w:highlight w:val="none"/>
          <w:lang w:eastAsia="zh-CN"/>
        </w:rPr>
        <w:t>评标办法（综合评分法）</w:t>
      </w:r>
      <w:bookmarkEnd w:id="30"/>
      <w:bookmarkEnd w:id="31"/>
    </w:p>
    <w:tbl>
      <w:tblPr>
        <w:tblStyle w:val="28"/>
        <w:tblW w:w="9784" w:type="dxa"/>
        <w:jc w:val="center"/>
        <w:tblLayout w:type="fixed"/>
        <w:tblCellMar>
          <w:top w:w="57" w:type="dxa"/>
          <w:left w:w="57" w:type="dxa"/>
          <w:bottom w:w="57" w:type="dxa"/>
          <w:right w:w="57" w:type="dxa"/>
        </w:tblCellMar>
      </w:tblPr>
      <w:tblGrid>
        <w:gridCol w:w="708"/>
        <w:gridCol w:w="765"/>
        <w:gridCol w:w="442"/>
        <w:gridCol w:w="1474"/>
        <w:gridCol w:w="6395"/>
      </w:tblGrid>
      <w:tr w14:paraId="203AB4D4">
        <w:tblPrEx>
          <w:tblCellMar>
            <w:top w:w="57" w:type="dxa"/>
            <w:left w:w="57" w:type="dxa"/>
            <w:bottom w:w="57" w:type="dxa"/>
            <w:right w:w="57" w:type="dxa"/>
          </w:tblCellMar>
        </w:tblPrEx>
        <w:trPr>
          <w:trHeight w:val="411" w:hRule="atLeast"/>
          <w:jc w:val="center"/>
        </w:trPr>
        <w:tc>
          <w:tcPr>
            <w:tcW w:w="1473" w:type="dxa"/>
            <w:gridSpan w:val="2"/>
            <w:tcBorders>
              <w:top w:val="single" w:color="000000" w:sz="4" w:space="0"/>
              <w:left w:val="single" w:color="000000" w:sz="4" w:space="0"/>
              <w:bottom w:val="single" w:color="000000" w:sz="4" w:space="0"/>
              <w:right w:val="single" w:color="000000" w:sz="4" w:space="0"/>
            </w:tcBorders>
            <w:vAlign w:val="center"/>
          </w:tcPr>
          <w:p w14:paraId="1826A9EE">
            <w:pPr>
              <w:pStyle w:val="36"/>
              <w:keepNext w:val="0"/>
              <w:keepLines w:val="0"/>
              <w:pageBreakBefore w:val="0"/>
              <w:widowControl w:val="0"/>
              <w:kinsoku/>
              <w:wordWrap/>
              <w:overflowPunct/>
              <w:topLinePunct w:val="0"/>
              <w:bidi w:val="0"/>
              <w:adjustRightInd/>
              <w:snapToGrid/>
              <w:spacing w:line="360" w:lineRule="auto"/>
              <w:ind w:left="0" w:right="0" w:firstLine="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条款</w:t>
            </w:r>
          </w:p>
        </w:tc>
        <w:tc>
          <w:tcPr>
            <w:tcW w:w="1916" w:type="dxa"/>
            <w:gridSpan w:val="2"/>
            <w:tcBorders>
              <w:top w:val="single" w:color="000000" w:sz="4" w:space="0"/>
              <w:left w:val="single" w:color="000000" w:sz="4" w:space="0"/>
              <w:bottom w:val="single" w:color="000000" w:sz="4" w:space="0"/>
              <w:right w:val="single" w:color="000000" w:sz="4" w:space="0"/>
            </w:tcBorders>
            <w:vAlign w:val="center"/>
          </w:tcPr>
          <w:p w14:paraId="0D4E51C6">
            <w:pPr>
              <w:pStyle w:val="36"/>
              <w:keepNext w:val="0"/>
              <w:keepLines w:val="0"/>
              <w:pageBreakBefore w:val="0"/>
              <w:widowControl w:val="0"/>
              <w:kinsoku/>
              <w:wordWrap/>
              <w:overflowPunct/>
              <w:topLinePunct w:val="0"/>
              <w:bidi w:val="0"/>
              <w:adjustRightInd/>
              <w:snapToGrid/>
              <w:spacing w:line="360" w:lineRule="auto"/>
              <w:ind w:left="0" w:right="0" w:firstLine="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评审因素</w:t>
            </w:r>
          </w:p>
        </w:tc>
        <w:tc>
          <w:tcPr>
            <w:tcW w:w="6395" w:type="dxa"/>
            <w:tcBorders>
              <w:top w:val="single" w:color="000000" w:sz="4" w:space="0"/>
              <w:left w:val="single" w:color="000000" w:sz="4" w:space="0"/>
              <w:bottom w:val="single" w:color="000000" w:sz="4" w:space="0"/>
              <w:right w:val="single" w:color="000000" w:sz="4" w:space="0"/>
            </w:tcBorders>
            <w:vAlign w:val="center"/>
          </w:tcPr>
          <w:p w14:paraId="6907E7B9">
            <w:pPr>
              <w:pStyle w:val="36"/>
              <w:keepNext w:val="0"/>
              <w:keepLines w:val="0"/>
              <w:pageBreakBefore w:val="0"/>
              <w:widowControl w:val="0"/>
              <w:kinsoku/>
              <w:wordWrap/>
              <w:overflowPunct/>
              <w:topLinePunct w:val="0"/>
              <w:bidi w:val="0"/>
              <w:adjustRightInd/>
              <w:snapToGrid/>
              <w:spacing w:line="360" w:lineRule="auto"/>
              <w:ind w:left="0" w:right="0" w:firstLine="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评审标准</w:t>
            </w:r>
          </w:p>
        </w:tc>
      </w:tr>
      <w:tr w14:paraId="5214BE7C">
        <w:tblPrEx>
          <w:tblCellMar>
            <w:top w:w="57" w:type="dxa"/>
            <w:left w:w="57" w:type="dxa"/>
            <w:bottom w:w="57" w:type="dxa"/>
            <w:right w:w="57" w:type="dxa"/>
          </w:tblCellMar>
        </w:tblPrEx>
        <w:trPr>
          <w:trHeight w:val="411" w:hRule="atLeast"/>
          <w:jc w:val="center"/>
        </w:trPr>
        <w:tc>
          <w:tcPr>
            <w:tcW w:w="708" w:type="dxa"/>
            <w:vMerge w:val="restart"/>
            <w:tcBorders>
              <w:top w:val="single" w:color="000000" w:sz="4" w:space="0"/>
              <w:left w:val="single" w:color="000000" w:sz="4" w:space="0"/>
              <w:right w:val="single" w:color="000000" w:sz="4" w:space="0"/>
            </w:tcBorders>
            <w:vAlign w:val="center"/>
          </w:tcPr>
          <w:p w14:paraId="49055212">
            <w:pPr>
              <w:pStyle w:val="36"/>
              <w:keepNext w:val="0"/>
              <w:keepLines w:val="0"/>
              <w:pageBreakBefore w:val="0"/>
              <w:widowControl w:val="0"/>
              <w:kinsoku/>
              <w:wordWrap/>
              <w:overflowPunct/>
              <w:topLinePunct w:val="0"/>
              <w:bidi w:val="0"/>
              <w:adjustRightInd/>
              <w:snapToGrid/>
              <w:spacing w:line="360" w:lineRule="auto"/>
              <w:ind w:left="0" w:right="0" w:firstLine="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2.1.1</w:t>
            </w:r>
          </w:p>
        </w:tc>
        <w:tc>
          <w:tcPr>
            <w:tcW w:w="765" w:type="dxa"/>
            <w:vMerge w:val="restart"/>
            <w:tcBorders>
              <w:top w:val="single" w:color="000000" w:sz="4" w:space="0"/>
              <w:left w:val="single" w:color="000000" w:sz="4" w:space="0"/>
              <w:right w:val="single" w:color="000000" w:sz="4" w:space="0"/>
            </w:tcBorders>
            <w:vAlign w:val="center"/>
          </w:tcPr>
          <w:p w14:paraId="376198EC">
            <w:pPr>
              <w:pStyle w:val="36"/>
              <w:keepNext w:val="0"/>
              <w:keepLines w:val="0"/>
              <w:pageBreakBefore w:val="0"/>
              <w:widowControl w:val="0"/>
              <w:kinsoku/>
              <w:wordWrap/>
              <w:overflowPunct/>
              <w:topLinePunct w:val="0"/>
              <w:bidi w:val="0"/>
              <w:adjustRightInd/>
              <w:snapToGrid/>
              <w:spacing w:line="360" w:lineRule="auto"/>
              <w:ind w:left="0" w:right="0" w:firstLine="0"/>
              <w:jc w:val="center"/>
              <w:textAlignment w:val="auto"/>
              <w:rPr>
                <w:rFonts w:hint="eastAsia" w:asciiTheme="minorEastAsia" w:hAnsiTheme="minorEastAsia" w:eastAsiaTheme="minorEastAsia" w:cstheme="minorEastAsia"/>
                <w:b/>
                <w:bCs/>
                <w:color w:val="auto"/>
                <w:sz w:val="21"/>
                <w:szCs w:val="21"/>
                <w:highlight w:val="none"/>
              </w:rPr>
            </w:pPr>
          </w:p>
          <w:p w14:paraId="3F39F95D">
            <w:pPr>
              <w:pStyle w:val="36"/>
              <w:keepNext w:val="0"/>
              <w:keepLines w:val="0"/>
              <w:pageBreakBefore w:val="0"/>
              <w:widowControl w:val="0"/>
              <w:kinsoku/>
              <w:wordWrap/>
              <w:overflowPunct/>
              <w:topLinePunct w:val="0"/>
              <w:bidi w:val="0"/>
              <w:adjustRightInd/>
              <w:snapToGrid/>
              <w:spacing w:line="360" w:lineRule="auto"/>
              <w:ind w:left="0" w:right="0" w:firstLine="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形式评审标准</w:t>
            </w:r>
          </w:p>
        </w:tc>
        <w:tc>
          <w:tcPr>
            <w:tcW w:w="1916" w:type="dxa"/>
            <w:gridSpan w:val="2"/>
            <w:tcBorders>
              <w:top w:val="single" w:color="000000" w:sz="4" w:space="0"/>
              <w:left w:val="single" w:color="000000" w:sz="4" w:space="0"/>
              <w:bottom w:val="single" w:color="000000" w:sz="4" w:space="0"/>
              <w:right w:val="single" w:color="000000" w:sz="4" w:space="0"/>
            </w:tcBorders>
            <w:vAlign w:val="center"/>
          </w:tcPr>
          <w:p w14:paraId="4B2C20C2">
            <w:pPr>
              <w:pStyle w:val="36"/>
              <w:keepNext w:val="0"/>
              <w:keepLines w:val="0"/>
              <w:pageBreakBefore w:val="0"/>
              <w:widowControl w:val="0"/>
              <w:kinsoku/>
              <w:wordWrap/>
              <w:overflowPunct/>
              <w:topLinePunct w:val="0"/>
              <w:autoSpaceDE/>
              <w:autoSpaceDN/>
              <w:bidi w:val="0"/>
              <w:adjustRightInd/>
              <w:snapToGrid/>
              <w:spacing w:line="360" w:lineRule="auto"/>
              <w:ind w:left="110" w:leftChars="50" w:right="0" w:firstLine="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供应商名称</w:t>
            </w:r>
          </w:p>
        </w:tc>
        <w:tc>
          <w:tcPr>
            <w:tcW w:w="6395" w:type="dxa"/>
            <w:tcBorders>
              <w:top w:val="single" w:color="000000" w:sz="4" w:space="0"/>
              <w:left w:val="single" w:color="000000" w:sz="4" w:space="0"/>
              <w:bottom w:val="single" w:color="000000" w:sz="4" w:space="0"/>
              <w:right w:val="single" w:color="000000" w:sz="4" w:space="0"/>
            </w:tcBorders>
            <w:vAlign w:val="center"/>
          </w:tcPr>
          <w:p w14:paraId="6161CD00">
            <w:pPr>
              <w:pStyle w:val="36"/>
              <w:keepNext w:val="0"/>
              <w:keepLines w:val="0"/>
              <w:pageBreakBefore w:val="0"/>
              <w:widowControl w:val="0"/>
              <w:kinsoku/>
              <w:wordWrap/>
              <w:overflowPunct/>
              <w:topLinePunct w:val="0"/>
              <w:autoSpaceDE/>
              <w:autoSpaceDN/>
              <w:bidi w:val="0"/>
              <w:adjustRightInd/>
              <w:snapToGrid/>
              <w:spacing w:line="360" w:lineRule="auto"/>
              <w:ind w:left="110" w:leftChars="50" w:right="0" w:firstLine="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与营业执照（或事业单位法人证书）一致</w:t>
            </w:r>
          </w:p>
        </w:tc>
      </w:tr>
      <w:tr w14:paraId="164E98C7">
        <w:tblPrEx>
          <w:tblCellMar>
            <w:top w:w="57" w:type="dxa"/>
            <w:left w:w="57" w:type="dxa"/>
            <w:bottom w:w="57" w:type="dxa"/>
            <w:right w:w="57" w:type="dxa"/>
          </w:tblCellMar>
        </w:tblPrEx>
        <w:trPr>
          <w:trHeight w:val="411" w:hRule="atLeast"/>
          <w:jc w:val="center"/>
        </w:trPr>
        <w:tc>
          <w:tcPr>
            <w:tcW w:w="708" w:type="dxa"/>
            <w:vMerge w:val="continue"/>
            <w:tcBorders>
              <w:left w:val="single" w:color="000000" w:sz="4" w:space="0"/>
              <w:right w:val="single" w:color="000000" w:sz="4" w:space="0"/>
            </w:tcBorders>
            <w:vAlign w:val="center"/>
          </w:tcPr>
          <w:p w14:paraId="54438D75">
            <w:pPr>
              <w:keepNext w:val="0"/>
              <w:keepLines w:val="0"/>
              <w:pageBreakBefore w:val="0"/>
              <w:widowControl w:val="0"/>
              <w:kinsoku/>
              <w:wordWrap/>
              <w:overflowPunct/>
              <w:topLinePunct w:val="0"/>
              <w:bidi w:val="0"/>
              <w:adjustRightInd/>
              <w:snapToGrid/>
              <w:spacing w:line="360" w:lineRule="auto"/>
              <w:ind w:left="0" w:right="0" w:firstLine="0"/>
              <w:jc w:val="center"/>
              <w:textAlignment w:val="auto"/>
              <w:rPr>
                <w:rFonts w:hint="eastAsia" w:asciiTheme="minorEastAsia" w:hAnsiTheme="minorEastAsia" w:eastAsiaTheme="minorEastAsia" w:cstheme="minorEastAsia"/>
                <w:color w:val="auto"/>
                <w:sz w:val="21"/>
                <w:szCs w:val="21"/>
                <w:highlight w:val="none"/>
                <w:lang w:eastAsia="zh-CN"/>
              </w:rPr>
            </w:pPr>
          </w:p>
        </w:tc>
        <w:tc>
          <w:tcPr>
            <w:tcW w:w="765" w:type="dxa"/>
            <w:vMerge w:val="continue"/>
            <w:tcBorders>
              <w:left w:val="single" w:color="000000" w:sz="4" w:space="0"/>
              <w:right w:val="single" w:color="000000" w:sz="4" w:space="0"/>
            </w:tcBorders>
            <w:vAlign w:val="center"/>
          </w:tcPr>
          <w:p w14:paraId="78E45606">
            <w:pPr>
              <w:keepNext w:val="0"/>
              <w:keepLines w:val="0"/>
              <w:pageBreakBefore w:val="0"/>
              <w:widowControl w:val="0"/>
              <w:kinsoku/>
              <w:wordWrap/>
              <w:overflowPunct/>
              <w:topLinePunct w:val="0"/>
              <w:bidi w:val="0"/>
              <w:adjustRightInd/>
              <w:snapToGrid/>
              <w:spacing w:line="360" w:lineRule="auto"/>
              <w:ind w:left="0" w:right="0" w:firstLine="0"/>
              <w:jc w:val="center"/>
              <w:textAlignment w:val="auto"/>
              <w:rPr>
                <w:rFonts w:hint="eastAsia" w:asciiTheme="minorEastAsia" w:hAnsiTheme="minorEastAsia" w:eastAsiaTheme="minorEastAsia" w:cstheme="minorEastAsia"/>
                <w:color w:val="auto"/>
                <w:sz w:val="21"/>
                <w:szCs w:val="21"/>
                <w:highlight w:val="none"/>
                <w:lang w:eastAsia="zh-CN"/>
              </w:rPr>
            </w:pPr>
          </w:p>
        </w:tc>
        <w:tc>
          <w:tcPr>
            <w:tcW w:w="1916" w:type="dxa"/>
            <w:gridSpan w:val="2"/>
            <w:tcBorders>
              <w:top w:val="single" w:color="000000" w:sz="4" w:space="0"/>
              <w:left w:val="single" w:color="000000" w:sz="4" w:space="0"/>
              <w:bottom w:val="single" w:color="000000" w:sz="4" w:space="0"/>
              <w:right w:val="single" w:color="000000" w:sz="4" w:space="0"/>
            </w:tcBorders>
            <w:vAlign w:val="center"/>
          </w:tcPr>
          <w:p w14:paraId="031B4837">
            <w:pPr>
              <w:pStyle w:val="36"/>
              <w:keepNext w:val="0"/>
              <w:keepLines w:val="0"/>
              <w:pageBreakBefore w:val="0"/>
              <w:widowControl w:val="0"/>
              <w:kinsoku/>
              <w:wordWrap/>
              <w:overflowPunct/>
              <w:topLinePunct w:val="0"/>
              <w:autoSpaceDE/>
              <w:autoSpaceDN/>
              <w:bidi w:val="0"/>
              <w:adjustRightInd/>
              <w:snapToGrid/>
              <w:spacing w:line="360" w:lineRule="auto"/>
              <w:ind w:left="110" w:leftChars="50" w:right="0" w:firstLine="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响应文件签字盖章</w:t>
            </w:r>
          </w:p>
        </w:tc>
        <w:tc>
          <w:tcPr>
            <w:tcW w:w="6395" w:type="dxa"/>
            <w:tcBorders>
              <w:top w:val="single" w:color="000000" w:sz="4" w:space="0"/>
              <w:left w:val="single" w:color="000000" w:sz="4" w:space="0"/>
              <w:bottom w:val="single" w:color="000000" w:sz="4" w:space="0"/>
              <w:right w:val="single" w:color="000000" w:sz="4" w:space="0"/>
            </w:tcBorders>
            <w:vAlign w:val="center"/>
          </w:tcPr>
          <w:p w14:paraId="02B4EF8B">
            <w:pPr>
              <w:pStyle w:val="36"/>
              <w:keepNext w:val="0"/>
              <w:keepLines w:val="0"/>
              <w:pageBreakBefore w:val="0"/>
              <w:widowControl w:val="0"/>
              <w:kinsoku/>
              <w:wordWrap/>
              <w:overflowPunct/>
              <w:topLinePunct w:val="0"/>
              <w:autoSpaceDE/>
              <w:autoSpaceDN/>
              <w:bidi w:val="0"/>
              <w:adjustRightInd/>
              <w:snapToGrid/>
              <w:spacing w:line="360" w:lineRule="auto"/>
              <w:ind w:left="110" w:leftChars="50" w:right="0" w:firstLine="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按照磋商文件中提供的响应文件格式和要求签字、盖章</w:t>
            </w:r>
          </w:p>
        </w:tc>
      </w:tr>
      <w:tr w14:paraId="5EC40B3B">
        <w:tblPrEx>
          <w:tblCellMar>
            <w:top w:w="57" w:type="dxa"/>
            <w:left w:w="57" w:type="dxa"/>
            <w:bottom w:w="57" w:type="dxa"/>
            <w:right w:w="57" w:type="dxa"/>
          </w:tblCellMar>
        </w:tblPrEx>
        <w:trPr>
          <w:trHeight w:val="411" w:hRule="atLeast"/>
          <w:jc w:val="center"/>
        </w:trPr>
        <w:tc>
          <w:tcPr>
            <w:tcW w:w="708" w:type="dxa"/>
            <w:vMerge w:val="continue"/>
            <w:tcBorders>
              <w:left w:val="single" w:color="000000" w:sz="4" w:space="0"/>
              <w:right w:val="single" w:color="000000" w:sz="4" w:space="0"/>
            </w:tcBorders>
            <w:vAlign w:val="center"/>
          </w:tcPr>
          <w:p w14:paraId="40993626">
            <w:pPr>
              <w:keepNext w:val="0"/>
              <w:keepLines w:val="0"/>
              <w:pageBreakBefore w:val="0"/>
              <w:widowControl w:val="0"/>
              <w:kinsoku/>
              <w:wordWrap/>
              <w:overflowPunct/>
              <w:topLinePunct w:val="0"/>
              <w:bidi w:val="0"/>
              <w:adjustRightInd/>
              <w:snapToGrid/>
              <w:spacing w:line="360" w:lineRule="auto"/>
              <w:ind w:left="0" w:right="0" w:firstLine="0"/>
              <w:jc w:val="center"/>
              <w:textAlignment w:val="auto"/>
              <w:rPr>
                <w:rFonts w:hint="eastAsia" w:asciiTheme="minorEastAsia" w:hAnsiTheme="minorEastAsia" w:eastAsiaTheme="minorEastAsia" w:cstheme="minorEastAsia"/>
                <w:color w:val="auto"/>
                <w:sz w:val="21"/>
                <w:szCs w:val="21"/>
                <w:highlight w:val="none"/>
                <w:lang w:eastAsia="zh-CN"/>
              </w:rPr>
            </w:pPr>
          </w:p>
        </w:tc>
        <w:tc>
          <w:tcPr>
            <w:tcW w:w="765" w:type="dxa"/>
            <w:vMerge w:val="continue"/>
            <w:tcBorders>
              <w:left w:val="single" w:color="000000" w:sz="4" w:space="0"/>
              <w:right w:val="single" w:color="000000" w:sz="4" w:space="0"/>
            </w:tcBorders>
            <w:vAlign w:val="center"/>
          </w:tcPr>
          <w:p w14:paraId="66DCA47C">
            <w:pPr>
              <w:keepNext w:val="0"/>
              <w:keepLines w:val="0"/>
              <w:pageBreakBefore w:val="0"/>
              <w:widowControl w:val="0"/>
              <w:kinsoku/>
              <w:wordWrap/>
              <w:overflowPunct/>
              <w:topLinePunct w:val="0"/>
              <w:bidi w:val="0"/>
              <w:adjustRightInd/>
              <w:snapToGrid/>
              <w:spacing w:line="360" w:lineRule="auto"/>
              <w:ind w:left="0" w:right="0" w:firstLine="0"/>
              <w:jc w:val="center"/>
              <w:textAlignment w:val="auto"/>
              <w:rPr>
                <w:rFonts w:hint="eastAsia" w:asciiTheme="minorEastAsia" w:hAnsiTheme="minorEastAsia" w:eastAsiaTheme="minorEastAsia" w:cstheme="minorEastAsia"/>
                <w:color w:val="auto"/>
                <w:sz w:val="21"/>
                <w:szCs w:val="21"/>
                <w:highlight w:val="none"/>
                <w:lang w:eastAsia="zh-CN"/>
              </w:rPr>
            </w:pPr>
          </w:p>
        </w:tc>
        <w:tc>
          <w:tcPr>
            <w:tcW w:w="1916" w:type="dxa"/>
            <w:gridSpan w:val="2"/>
            <w:tcBorders>
              <w:top w:val="single" w:color="000000" w:sz="4" w:space="0"/>
              <w:left w:val="single" w:color="000000" w:sz="4" w:space="0"/>
              <w:bottom w:val="single" w:color="000000" w:sz="4" w:space="0"/>
              <w:right w:val="single" w:color="000000" w:sz="4" w:space="0"/>
            </w:tcBorders>
            <w:vAlign w:val="center"/>
          </w:tcPr>
          <w:p w14:paraId="061E778D">
            <w:pPr>
              <w:pStyle w:val="36"/>
              <w:keepNext w:val="0"/>
              <w:keepLines w:val="0"/>
              <w:pageBreakBefore w:val="0"/>
              <w:widowControl w:val="0"/>
              <w:kinsoku/>
              <w:wordWrap/>
              <w:overflowPunct/>
              <w:topLinePunct w:val="0"/>
              <w:autoSpaceDE/>
              <w:autoSpaceDN/>
              <w:bidi w:val="0"/>
              <w:adjustRightInd/>
              <w:snapToGrid/>
              <w:spacing w:line="360" w:lineRule="auto"/>
              <w:ind w:left="110" w:leftChars="50" w:right="0" w:firstLine="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响应文件格式</w:t>
            </w:r>
          </w:p>
        </w:tc>
        <w:tc>
          <w:tcPr>
            <w:tcW w:w="6395" w:type="dxa"/>
            <w:tcBorders>
              <w:top w:val="single" w:color="000000" w:sz="4" w:space="0"/>
              <w:left w:val="single" w:color="000000" w:sz="4" w:space="0"/>
              <w:bottom w:val="single" w:color="000000" w:sz="4" w:space="0"/>
              <w:right w:val="single" w:color="000000" w:sz="4" w:space="0"/>
            </w:tcBorders>
            <w:vAlign w:val="center"/>
          </w:tcPr>
          <w:p w14:paraId="12D96101">
            <w:pPr>
              <w:pStyle w:val="36"/>
              <w:keepNext w:val="0"/>
              <w:keepLines w:val="0"/>
              <w:pageBreakBefore w:val="0"/>
              <w:widowControl w:val="0"/>
              <w:kinsoku/>
              <w:wordWrap/>
              <w:overflowPunct/>
              <w:topLinePunct w:val="0"/>
              <w:autoSpaceDE/>
              <w:autoSpaceDN/>
              <w:bidi w:val="0"/>
              <w:adjustRightInd/>
              <w:snapToGrid/>
              <w:spacing w:line="360" w:lineRule="auto"/>
              <w:ind w:left="110" w:leftChars="50" w:right="0" w:firstLine="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符合第</w:t>
            </w:r>
            <w:r>
              <w:rPr>
                <w:rFonts w:hint="eastAsia" w:asciiTheme="minorEastAsia" w:hAnsiTheme="minorEastAsia" w:eastAsiaTheme="minorEastAsia" w:cstheme="minorEastAsia"/>
                <w:color w:val="auto"/>
                <w:sz w:val="21"/>
                <w:szCs w:val="21"/>
                <w:highlight w:val="none"/>
                <w:lang w:val="en-US" w:eastAsia="zh-CN"/>
              </w:rPr>
              <w:t>六</w:t>
            </w:r>
            <w:r>
              <w:rPr>
                <w:rFonts w:hint="eastAsia" w:asciiTheme="minorEastAsia" w:hAnsiTheme="minorEastAsia" w:eastAsiaTheme="minorEastAsia" w:cstheme="minorEastAsia"/>
                <w:color w:val="auto"/>
                <w:sz w:val="21"/>
                <w:szCs w:val="21"/>
                <w:highlight w:val="none"/>
                <w:lang w:eastAsia="zh-CN"/>
              </w:rPr>
              <w:t>章“磋商响应文件格式”的要求</w:t>
            </w:r>
          </w:p>
        </w:tc>
      </w:tr>
      <w:tr w14:paraId="7E98BFA3">
        <w:tblPrEx>
          <w:tblCellMar>
            <w:top w:w="57" w:type="dxa"/>
            <w:left w:w="57" w:type="dxa"/>
            <w:bottom w:w="57" w:type="dxa"/>
            <w:right w:w="57" w:type="dxa"/>
          </w:tblCellMar>
        </w:tblPrEx>
        <w:trPr>
          <w:trHeight w:val="411" w:hRule="atLeast"/>
          <w:jc w:val="center"/>
        </w:trPr>
        <w:tc>
          <w:tcPr>
            <w:tcW w:w="708" w:type="dxa"/>
            <w:vMerge w:val="continue"/>
            <w:tcBorders>
              <w:left w:val="single" w:color="000000" w:sz="4" w:space="0"/>
              <w:bottom w:val="single" w:color="000000" w:sz="4" w:space="0"/>
              <w:right w:val="single" w:color="000000" w:sz="4" w:space="0"/>
            </w:tcBorders>
            <w:vAlign w:val="center"/>
          </w:tcPr>
          <w:p w14:paraId="5ACA2C51">
            <w:pPr>
              <w:keepNext w:val="0"/>
              <w:keepLines w:val="0"/>
              <w:pageBreakBefore w:val="0"/>
              <w:widowControl w:val="0"/>
              <w:kinsoku/>
              <w:wordWrap/>
              <w:overflowPunct/>
              <w:topLinePunct w:val="0"/>
              <w:bidi w:val="0"/>
              <w:adjustRightInd/>
              <w:snapToGrid/>
              <w:spacing w:line="360" w:lineRule="auto"/>
              <w:ind w:left="0" w:right="0" w:firstLine="0"/>
              <w:jc w:val="center"/>
              <w:textAlignment w:val="auto"/>
              <w:rPr>
                <w:rFonts w:hint="eastAsia" w:asciiTheme="minorEastAsia" w:hAnsiTheme="minorEastAsia" w:eastAsiaTheme="minorEastAsia" w:cstheme="minorEastAsia"/>
                <w:color w:val="auto"/>
                <w:sz w:val="21"/>
                <w:szCs w:val="21"/>
                <w:highlight w:val="none"/>
                <w:lang w:eastAsia="zh-CN"/>
              </w:rPr>
            </w:pPr>
          </w:p>
        </w:tc>
        <w:tc>
          <w:tcPr>
            <w:tcW w:w="765" w:type="dxa"/>
            <w:vMerge w:val="continue"/>
            <w:tcBorders>
              <w:left w:val="single" w:color="000000" w:sz="4" w:space="0"/>
              <w:bottom w:val="single" w:color="000000" w:sz="4" w:space="0"/>
              <w:right w:val="single" w:color="000000" w:sz="4" w:space="0"/>
            </w:tcBorders>
            <w:vAlign w:val="center"/>
          </w:tcPr>
          <w:p w14:paraId="552BA949">
            <w:pPr>
              <w:keepNext w:val="0"/>
              <w:keepLines w:val="0"/>
              <w:pageBreakBefore w:val="0"/>
              <w:widowControl w:val="0"/>
              <w:kinsoku/>
              <w:wordWrap/>
              <w:overflowPunct/>
              <w:topLinePunct w:val="0"/>
              <w:bidi w:val="0"/>
              <w:adjustRightInd/>
              <w:snapToGrid/>
              <w:spacing w:line="360" w:lineRule="auto"/>
              <w:ind w:left="0" w:right="0" w:firstLine="0"/>
              <w:jc w:val="center"/>
              <w:textAlignment w:val="auto"/>
              <w:rPr>
                <w:rFonts w:hint="eastAsia" w:asciiTheme="minorEastAsia" w:hAnsiTheme="minorEastAsia" w:eastAsiaTheme="minorEastAsia" w:cstheme="minorEastAsia"/>
                <w:color w:val="auto"/>
                <w:sz w:val="21"/>
                <w:szCs w:val="21"/>
                <w:highlight w:val="none"/>
                <w:lang w:eastAsia="zh-CN"/>
              </w:rPr>
            </w:pPr>
          </w:p>
        </w:tc>
        <w:tc>
          <w:tcPr>
            <w:tcW w:w="1916" w:type="dxa"/>
            <w:gridSpan w:val="2"/>
            <w:tcBorders>
              <w:top w:val="single" w:color="000000" w:sz="4" w:space="0"/>
              <w:left w:val="single" w:color="000000" w:sz="4" w:space="0"/>
              <w:bottom w:val="single" w:color="000000" w:sz="4" w:space="0"/>
              <w:right w:val="single" w:color="000000" w:sz="4" w:space="0"/>
            </w:tcBorders>
            <w:vAlign w:val="center"/>
          </w:tcPr>
          <w:p w14:paraId="49EC1DDB">
            <w:pPr>
              <w:pStyle w:val="36"/>
              <w:keepNext w:val="0"/>
              <w:keepLines w:val="0"/>
              <w:pageBreakBefore w:val="0"/>
              <w:widowControl w:val="0"/>
              <w:kinsoku/>
              <w:wordWrap/>
              <w:overflowPunct/>
              <w:topLinePunct w:val="0"/>
              <w:autoSpaceDE/>
              <w:autoSpaceDN/>
              <w:bidi w:val="0"/>
              <w:adjustRightInd/>
              <w:snapToGrid/>
              <w:spacing w:line="360" w:lineRule="auto"/>
              <w:ind w:left="110" w:leftChars="50" w:right="0" w:firstLine="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报价唯一</w:t>
            </w:r>
          </w:p>
        </w:tc>
        <w:tc>
          <w:tcPr>
            <w:tcW w:w="6395" w:type="dxa"/>
            <w:tcBorders>
              <w:top w:val="single" w:color="000000" w:sz="4" w:space="0"/>
              <w:left w:val="single" w:color="000000" w:sz="4" w:space="0"/>
              <w:bottom w:val="single" w:color="000000" w:sz="4" w:space="0"/>
              <w:right w:val="single" w:color="000000" w:sz="4" w:space="0"/>
            </w:tcBorders>
            <w:vAlign w:val="center"/>
          </w:tcPr>
          <w:p w14:paraId="7431ADFF">
            <w:pPr>
              <w:pStyle w:val="36"/>
              <w:keepNext w:val="0"/>
              <w:keepLines w:val="0"/>
              <w:pageBreakBefore w:val="0"/>
              <w:widowControl w:val="0"/>
              <w:kinsoku/>
              <w:wordWrap/>
              <w:overflowPunct/>
              <w:topLinePunct w:val="0"/>
              <w:autoSpaceDE/>
              <w:autoSpaceDN/>
              <w:bidi w:val="0"/>
              <w:adjustRightInd/>
              <w:snapToGrid/>
              <w:spacing w:line="360" w:lineRule="auto"/>
              <w:ind w:left="110" w:leftChars="50" w:right="0" w:firstLine="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最终报价</w:t>
            </w:r>
            <w:r>
              <w:rPr>
                <w:rFonts w:hint="eastAsia" w:asciiTheme="minorEastAsia" w:hAnsiTheme="minorEastAsia" w:eastAsiaTheme="minorEastAsia" w:cstheme="minorEastAsia"/>
                <w:color w:val="auto"/>
                <w:sz w:val="21"/>
                <w:szCs w:val="21"/>
                <w:highlight w:val="none"/>
              </w:rPr>
              <w:t>只能有一个有效报价</w:t>
            </w:r>
          </w:p>
        </w:tc>
      </w:tr>
      <w:tr w14:paraId="1BF7FCF2">
        <w:tblPrEx>
          <w:tblCellMar>
            <w:top w:w="57" w:type="dxa"/>
            <w:left w:w="57" w:type="dxa"/>
            <w:bottom w:w="57" w:type="dxa"/>
            <w:right w:w="57" w:type="dxa"/>
          </w:tblCellMar>
        </w:tblPrEx>
        <w:trPr>
          <w:trHeight w:val="90" w:hRule="atLeast"/>
          <w:jc w:val="center"/>
        </w:trPr>
        <w:tc>
          <w:tcPr>
            <w:tcW w:w="708" w:type="dxa"/>
            <w:tcBorders>
              <w:top w:val="single" w:color="000000" w:sz="4" w:space="0"/>
              <w:left w:val="single" w:color="000000" w:sz="4" w:space="0"/>
              <w:bottom w:val="single" w:color="000000" w:sz="4" w:space="0"/>
              <w:right w:val="single" w:color="000000" w:sz="4" w:space="0"/>
            </w:tcBorders>
            <w:vAlign w:val="center"/>
          </w:tcPr>
          <w:p w14:paraId="7547ACD1">
            <w:pPr>
              <w:pStyle w:val="36"/>
              <w:keepNext w:val="0"/>
              <w:keepLines w:val="0"/>
              <w:pageBreakBefore w:val="0"/>
              <w:widowControl w:val="0"/>
              <w:kinsoku/>
              <w:wordWrap/>
              <w:overflowPunct/>
              <w:topLinePunct w:val="0"/>
              <w:bidi w:val="0"/>
              <w:adjustRightInd/>
              <w:snapToGrid/>
              <w:spacing w:line="360" w:lineRule="auto"/>
              <w:ind w:left="0" w:right="0" w:firstLine="0"/>
              <w:jc w:val="center"/>
              <w:textAlignment w:val="auto"/>
              <w:rPr>
                <w:rFonts w:hint="eastAsia" w:asciiTheme="minorEastAsia" w:hAnsiTheme="minorEastAsia" w:eastAsiaTheme="minorEastAsia" w:cstheme="minorEastAsia"/>
                <w:b/>
                <w:bCs/>
                <w:color w:val="auto"/>
                <w:sz w:val="21"/>
                <w:szCs w:val="21"/>
                <w:highlight w:val="none"/>
              </w:rPr>
            </w:pPr>
          </w:p>
          <w:p w14:paraId="5CF2C8D1">
            <w:pPr>
              <w:pStyle w:val="36"/>
              <w:keepNext w:val="0"/>
              <w:keepLines w:val="0"/>
              <w:pageBreakBefore w:val="0"/>
              <w:widowControl w:val="0"/>
              <w:kinsoku/>
              <w:wordWrap/>
              <w:overflowPunct/>
              <w:topLinePunct w:val="0"/>
              <w:bidi w:val="0"/>
              <w:adjustRightInd/>
              <w:snapToGrid/>
              <w:spacing w:line="360" w:lineRule="auto"/>
              <w:ind w:left="0" w:right="0" w:firstLine="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2.1.2</w:t>
            </w:r>
          </w:p>
        </w:tc>
        <w:tc>
          <w:tcPr>
            <w:tcW w:w="765" w:type="dxa"/>
            <w:tcBorders>
              <w:top w:val="single" w:color="000000" w:sz="4" w:space="0"/>
              <w:left w:val="single" w:color="000000" w:sz="4" w:space="0"/>
              <w:bottom w:val="single" w:color="000000" w:sz="4" w:space="0"/>
              <w:right w:val="single" w:color="000000" w:sz="4" w:space="0"/>
            </w:tcBorders>
            <w:vAlign w:val="center"/>
          </w:tcPr>
          <w:p w14:paraId="484EEA4C">
            <w:pPr>
              <w:pStyle w:val="36"/>
              <w:keepNext w:val="0"/>
              <w:keepLines w:val="0"/>
              <w:pageBreakBefore w:val="0"/>
              <w:widowControl w:val="0"/>
              <w:kinsoku/>
              <w:wordWrap/>
              <w:overflowPunct/>
              <w:topLinePunct w:val="0"/>
              <w:bidi w:val="0"/>
              <w:adjustRightInd/>
              <w:snapToGrid/>
              <w:spacing w:line="360" w:lineRule="auto"/>
              <w:ind w:left="0" w:right="0" w:firstLine="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资格审查标准</w:t>
            </w:r>
          </w:p>
        </w:tc>
        <w:tc>
          <w:tcPr>
            <w:tcW w:w="8311" w:type="dxa"/>
            <w:gridSpan w:val="3"/>
            <w:tcBorders>
              <w:top w:val="single" w:color="000000" w:sz="4" w:space="0"/>
              <w:left w:val="single" w:color="000000" w:sz="4" w:space="0"/>
              <w:bottom w:val="single" w:color="000000" w:sz="4" w:space="0"/>
              <w:right w:val="single" w:color="000000" w:sz="4" w:space="0"/>
            </w:tcBorders>
            <w:vAlign w:val="center"/>
          </w:tcPr>
          <w:p w14:paraId="13E885BF">
            <w:pPr>
              <w:spacing w:line="360" w:lineRule="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 xml:space="preserve">1、满足《中华人民共和国政府采购法》第二十二条； </w:t>
            </w:r>
          </w:p>
          <w:p w14:paraId="0795AD69">
            <w:pPr>
              <w:spacing w:line="360" w:lineRule="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具有独立承担民事责任的能力（提供有效的营业执照）；</w:t>
            </w:r>
          </w:p>
          <w:p w14:paraId="7D2A6D04">
            <w:pPr>
              <w:spacing w:line="360" w:lineRule="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具有良好的商业信誉和健全的财务会计制度（提供20</w:t>
            </w:r>
            <w:r>
              <w:rPr>
                <w:rFonts w:hint="eastAsia" w:asciiTheme="minorEastAsia" w:hAnsiTheme="minorEastAsia" w:eastAsiaTheme="minorEastAsia" w:cstheme="minorEastAsia"/>
                <w:color w:val="auto"/>
                <w:sz w:val="21"/>
                <w:szCs w:val="21"/>
                <w:highlight w:val="none"/>
                <w:lang w:val="en-US" w:eastAsia="zh-CN"/>
              </w:rPr>
              <w:t>23</w:t>
            </w:r>
            <w:r>
              <w:rPr>
                <w:rFonts w:hint="eastAsia" w:asciiTheme="minorEastAsia" w:hAnsiTheme="minorEastAsia" w:eastAsiaTheme="minorEastAsia" w:cstheme="minorEastAsia"/>
                <w:color w:val="auto"/>
                <w:sz w:val="21"/>
                <w:szCs w:val="21"/>
                <w:highlight w:val="none"/>
                <w:lang w:eastAsia="zh-CN"/>
              </w:rPr>
              <w:t>年度经会计事务所审计的财务审计报告（新成立公司以实际成立年限为准，</w:t>
            </w:r>
            <w:r>
              <w:rPr>
                <w:rFonts w:hint="eastAsia" w:asciiTheme="minorEastAsia" w:hAnsiTheme="minorEastAsia" w:eastAsiaTheme="minorEastAsia" w:cstheme="minorEastAsia"/>
                <w:color w:val="auto"/>
                <w:sz w:val="21"/>
                <w:szCs w:val="21"/>
                <w:highlight w:val="none"/>
                <w:lang w:val="en-US" w:eastAsia="zh-CN"/>
              </w:rPr>
              <w:t>不足一年的企业</w:t>
            </w:r>
            <w:r>
              <w:rPr>
                <w:rFonts w:hint="eastAsia" w:asciiTheme="minorEastAsia" w:hAnsiTheme="minorEastAsia" w:eastAsiaTheme="minorEastAsia" w:cstheme="minorEastAsia"/>
                <w:color w:val="auto"/>
                <w:sz w:val="21"/>
                <w:szCs w:val="21"/>
                <w:highlight w:val="none"/>
                <w:lang w:eastAsia="zh-CN"/>
              </w:rPr>
              <w:t>可提供</w:t>
            </w:r>
            <w:r>
              <w:rPr>
                <w:rFonts w:hint="eastAsia" w:asciiTheme="minorEastAsia" w:hAnsiTheme="minorEastAsia" w:eastAsiaTheme="minorEastAsia" w:cstheme="minorEastAsia"/>
                <w:color w:val="auto"/>
                <w:sz w:val="21"/>
                <w:szCs w:val="21"/>
                <w:highlight w:val="none"/>
                <w:lang w:val="en-US" w:eastAsia="zh-CN"/>
              </w:rPr>
              <w:t>加盖财务公章的财务报表</w:t>
            </w:r>
            <w:r>
              <w:rPr>
                <w:rFonts w:hint="eastAsia" w:asciiTheme="minorEastAsia" w:hAnsiTheme="minorEastAsia" w:eastAsiaTheme="minorEastAsia" w:cstheme="minorEastAsia"/>
                <w:color w:val="auto"/>
                <w:sz w:val="21"/>
                <w:szCs w:val="21"/>
                <w:highlight w:val="none"/>
                <w:lang w:eastAsia="zh-CN"/>
              </w:rPr>
              <w:t>）；</w:t>
            </w:r>
          </w:p>
          <w:p w14:paraId="10E948E3">
            <w:pPr>
              <w:spacing w:line="360" w:lineRule="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eastAsia="zh-CN"/>
              </w:rPr>
              <w:t>具有履行合同所必需的设备和专业技术能力；(须提供声明文件,加盖单位公章及法人签字）；</w:t>
            </w:r>
          </w:p>
          <w:p w14:paraId="63F877ED">
            <w:pPr>
              <w:keepNext w:val="0"/>
              <w:keepLines w:val="0"/>
              <w:pageBreakBefore w:val="0"/>
              <w:kinsoku/>
              <w:wordWrap/>
              <w:overflowPunct/>
              <w:topLinePunct w:val="0"/>
              <w:autoSpaceDE w:val="0"/>
              <w:autoSpaceDN w:val="0"/>
              <w:bidi w:val="0"/>
              <w:adjustRightInd w:val="0"/>
              <w:snapToGrid/>
              <w:spacing w:line="380" w:lineRule="exact"/>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（4）竞标人须具备</w:t>
            </w:r>
            <w:r>
              <w:rPr>
                <w:rFonts w:hint="eastAsia" w:ascii="宋体" w:hAnsi="宋体" w:cs="宋体"/>
                <w:bCs/>
                <w:color w:val="auto"/>
                <w:szCs w:val="21"/>
              </w:rPr>
              <w:t>本次</w:t>
            </w:r>
            <w:r>
              <w:rPr>
                <w:rFonts w:hint="eastAsia" w:ascii="宋体" w:hAnsi="宋体" w:eastAsia="宋体" w:cs="宋体"/>
                <w:bCs/>
                <w:color w:val="auto"/>
                <w:szCs w:val="21"/>
                <w:lang w:val="en-US" w:eastAsia="zh-CN"/>
              </w:rPr>
              <w:t>磋商</w:t>
            </w:r>
            <w:r>
              <w:rPr>
                <w:rFonts w:hint="eastAsia" w:ascii="宋体" w:hAnsi="宋体" w:cs="宋体"/>
                <w:bCs/>
                <w:color w:val="auto"/>
                <w:szCs w:val="21"/>
              </w:rPr>
              <w:t>要求</w:t>
            </w:r>
            <w:r>
              <w:rPr>
                <w:rFonts w:hint="eastAsia" w:ascii="宋体" w:hAnsi="宋体" w:eastAsia="宋体" w:cs="宋体"/>
                <w:bCs/>
                <w:color w:val="auto"/>
                <w:szCs w:val="21"/>
                <w:lang w:val="en-US" w:eastAsia="zh-CN"/>
              </w:rPr>
              <w:t>竞标人</w:t>
            </w:r>
            <w:r>
              <w:rPr>
                <w:rFonts w:hint="eastAsia" w:ascii="宋体" w:hAnsi="宋体" w:cs="宋体"/>
                <w:bCs/>
                <w:color w:val="auto"/>
                <w:szCs w:val="21"/>
              </w:rPr>
              <w:t>须具备工程勘察综合类</w:t>
            </w:r>
            <w:r>
              <w:rPr>
                <w:rFonts w:hint="eastAsia" w:ascii="宋体" w:hAnsi="宋体" w:cs="宋体"/>
                <w:bCs/>
                <w:color w:val="auto"/>
                <w:szCs w:val="21"/>
                <w:lang w:val="en-US" w:eastAsia="zh-CN"/>
              </w:rPr>
              <w:t>甲</w:t>
            </w:r>
            <w:r>
              <w:rPr>
                <w:rFonts w:hint="eastAsia" w:ascii="宋体" w:hAnsi="宋体" w:cs="宋体"/>
                <w:bCs/>
                <w:color w:val="auto"/>
                <w:szCs w:val="21"/>
              </w:rPr>
              <w:t>级或工程勘察专业类岩土工程勘察</w:t>
            </w:r>
            <w:r>
              <w:rPr>
                <w:rFonts w:hint="eastAsia" w:ascii="宋体" w:hAnsi="宋体" w:cs="宋体"/>
                <w:bCs/>
                <w:color w:val="auto"/>
                <w:szCs w:val="21"/>
                <w:lang w:val="en-US" w:eastAsia="zh-CN"/>
              </w:rPr>
              <w:t>乙</w:t>
            </w:r>
            <w:r>
              <w:rPr>
                <w:rFonts w:hint="eastAsia" w:ascii="宋体" w:hAnsi="宋体" w:cs="宋体"/>
                <w:bCs/>
                <w:color w:val="auto"/>
                <w:szCs w:val="21"/>
              </w:rPr>
              <w:t>级及以上资质（含</w:t>
            </w:r>
            <w:r>
              <w:rPr>
                <w:rFonts w:hint="eastAsia" w:ascii="宋体" w:hAnsi="宋体" w:cs="宋体"/>
                <w:bCs/>
                <w:color w:val="auto"/>
                <w:szCs w:val="21"/>
                <w:lang w:val="en-US" w:eastAsia="zh-CN"/>
              </w:rPr>
              <w:t>乙</w:t>
            </w:r>
            <w:r>
              <w:rPr>
                <w:rFonts w:hint="eastAsia" w:ascii="宋体" w:hAnsi="宋体" w:cs="宋体"/>
                <w:bCs/>
                <w:color w:val="auto"/>
                <w:szCs w:val="21"/>
              </w:rPr>
              <w:t>级资质）</w:t>
            </w:r>
            <w:r>
              <w:rPr>
                <w:rFonts w:hint="eastAsia" w:ascii="宋体" w:hAnsi="宋体" w:eastAsia="宋体" w:cs="宋体"/>
                <w:color w:val="auto"/>
                <w:kern w:val="0"/>
                <w:sz w:val="21"/>
                <w:szCs w:val="21"/>
                <w:highlight w:val="none"/>
                <w:lang w:val="en-US" w:eastAsia="zh-CN"/>
              </w:rPr>
              <w:t>，并在人员、设备、资金等方面具有相应的项目实施能力。</w:t>
            </w:r>
          </w:p>
          <w:p w14:paraId="703DED9B">
            <w:pPr>
              <w:spacing w:line="360" w:lineRule="auto"/>
              <w:rPr>
                <w:rFonts w:hint="eastAsia"/>
                <w:color w:val="auto"/>
                <w:lang w:eastAsia="zh-CN"/>
              </w:rPr>
            </w:pPr>
            <w:r>
              <w:rPr>
                <w:rFonts w:hint="eastAsia" w:ascii="宋体" w:hAnsi="宋体" w:eastAsia="宋体" w:cs="宋体"/>
                <w:color w:val="auto"/>
                <w:kern w:val="0"/>
                <w:sz w:val="21"/>
                <w:szCs w:val="21"/>
                <w:highlight w:val="none"/>
                <w:lang w:val="en-US" w:eastAsia="zh-CN"/>
              </w:rPr>
              <w:t>（5）项目负责人的资格要求：</w:t>
            </w:r>
            <w:r>
              <w:rPr>
                <w:rFonts w:hint="eastAsia" w:ascii="宋体" w:hAnsi="宋体" w:cs="宋体"/>
                <w:color w:val="auto"/>
                <w:szCs w:val="21"/>
              </w:rPr>
              <w:t>必须为投标人本单位在职人员，并具有注册岩土工程师证</w:t>
            </w:r>
          </w:p>
          <w:p w14:paraId="67753DBF">
            <w:pPr>
              <w:spacing w:line="360" w:lineRule="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lang w:eastAsia="zh-CN"/>
              </w:rPr>
              <w:t>参加采购活动前三年内，在经营活动中没有重大违法记录和不良信用记录，被列入失信被执行人、重大税收违法案件当事人名单、政府采购严重违法失信行为记录名单及其他不符合《中华人民共和国政府采购法》第二十二条规定条件的供应商，将被拒绝其参与本次采购活动；</w:t>
            </w:r>
          </w:p>
          <w:p w14:paraId="6028E85B">
            <w:pPr>
              <w:spacing w:line="36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（7）</w:t>
            </w:r>
            <w:r>
              <w:rPr>
                <w:rFonts w:hint="eastAsia" w:asciiTheme="minorEastAsia" w:hAnsiTheme="minorEastAsia" w:eastAsiaTheme="minorEastAsia" w:cstheme="minorEastAsia"/>
                <w:color w:val="auto"/>
                <w:sz w:val="21"/>
                <w:szCs w:val="21"/>
                <w:highlight w:val="none"/>
                <w:lang w:eastAsia="zh-CN"/>
              </w:rPr>
              <w:t>法律、行政法规规定的其他条件；</w:t>
            </w:r>
          </w:p>
          <w:p w14:paraId="1885DBCF">
            <w:pPr>
              <w:spacing w:line="360" w:lineRule="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lang w:eastAsia="zh-CN"/>
              </w:rPr>
              <w:t>本项目不接受联合体投标。</w:t>
            </w:r>
          </w:p>
          <w:p w14:paraId="2813F4C5">
            <w:pPr>
              <w:pStyle w:val="10"/>
              <w:rPr>
                <w:rFonts w:hint="eastAsia"/>
                <w:color w:val="auto"/>
                <w:lang w:eastAsia="zh-CN"/>
              </w:rPr>
            </w:pPr>
          </w:p>
        </w:tc>
      </w:tr>
      <w:tr w14:paraId="32F3EB25">
        <w:tblPrEx>
          <w:tblCellMar>
            <w:top w:w="57" w:type="dxa"/>
            <w:left w:w="57" w:type="dxa"/>
            <w:bottom w:w="57" w:type="dxa"/>
            <w:right w:w="57" w:type="dxa"/>
          </w:tblCellMar>
        </w:tblPrEx>
        <w:trPr>
          <w:trHeight w:val="411" w:hRule="atLeast"/>
          <w:jc w:val="center"/>
        </w:trPr>
        <w:tc>
          <w:tcPr>
            <w:tcW w:w="708" w:type="dxa"/>
            <w:vMerge w:val="restart"/>
            <w:tcBorders>
              <w:top w:val="single" w:color="000000" w:sz="4" w:space="0"/>
              <w:left w:val="single" w:color="000000" w:sz="4" w:space="0"/>
              <w:right w:val="single" w:color="000000" w:sz="4" w:space="0"/>
            </w:tcBorders>
            <w:vAlign w:val="center"/>
          </w:tcPr>
          <w:p w14:paraId="1A4F0140">
            <w:pPr>
              <w:pStyle w:val="36"/>
              <w:keepNext w:val="0"/>
              <w:keepLines w:val="0"/>
              <w:pageBreakBefore w:val="0"/>
              <w:widowControl w:val="0"/>
              <w:kinsoku/>
              <w:wordWrap/>
              <w:overflowPunct/>
              <w:topLinePunct w:val="0"/>
              <w:bidi w:val="0"/>
              <w:adjustRightInd/>
              <w:snapToGrid/>
              <w:spacing w:line="360" w:lineRule="auto"/>
              <w:ind w:left="0" w:right="0" w:firstLine="0"/>
              <w:jc w:val="center"/>
              <w:textAlignment w:val="auto"/>
              <w:rPr>
                <w:rFonts w:hint="eastAsia" w:asciiTheme="minorEastAsia" w:hAnsiTheme="minorEastAsia" w:eastAsiaTheme="minorEastAsia" w:cstheme="minorEastAsia"/>
                <w:b/>
                <w:bCs/>
                <w:color w:val="auto"/>
                <w:sz w:val="21"/>
                <w:szCs w:val="21"/>
                <w:highlight w:val="none"/>
                <w:lang w:eastAsia="zh-CN"/>
              </w:rPr>
            </w:pPr>
          </w:p>
          <w:p w14:paraId="254D8C5F">
            <w:pPr>
              <w:pStyle w:val="36"/>
              <w:keepNext w:val="0"/>
              <w:keepLines w:val="0"/>
              <w:pageBreakBefore w:val="0"/>
              <w:widowControl w:val="0"/>
              <w:kinsoku/>
              <w:wordWrap/>
              <w:overflowPunct/>
              <w:topLinePunct w:val="0"/>
              <w:bidi w:val="0"/>
              <w:adjustRightInd/>
              <w:snapToGrid/>
              <w:spacing w:line="360" w:lineRule="auto"/>
              <w:ind w:left="0" w:right="0" w:firstLine="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2.1.3</w:t>
            </w:r>
          </w:p>
        </w:tc>
        <w:tc>
          <w:tcPr>
            <w:tcW w:w="765" w:type="dxa"/>
            <w:vMerge w:val="restart"/>
            <w:tcBorders>
              <w:top w:val="single" w:color="000000" w:sz="4" w:space="0"/>
              <w:left w:val="single" w:color="000000" w:sz="4" w:space="0"/>
              <w:right w:val="single" w:color="000000" w:sz="4" w:space="0"/>
            </w:tcBorders>
            <w:vAlign w:val="center"/>
          </w:tcPr>
          <w:p w14:paraId="4E492E67">
            <w:pPr>
              <w:pStyle w:val="36"/>
              <w:keepNext w:val="0"/>
              <w:keepLines w:val="0"/>
              <w:pageBreakBefore w:val="0"/>
              <w:widowControl w:val="0"/>
              <w:kinsoku/>
              <w:wordWrap/>
              <w:overflowPunct/>
              <w:topLinePunct w:val="0"/>
              <w:bidi w:val="0"/>
              <w:adjustRightInd/>
              <w:snapToGrid/>
              <w:spacing w:line="360" w:lineRule="auto"/>
              <w:ind w:left="0" w:right="0" w:firstLine="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响应性审查标准</w:t>
            </w:r>
          </w:p>
        </w:tc>
        <w:tc>
          <w:tcPr>
            <w:tcW w:w="1916" w:type="dxa"/>
            <w:gridSpan w:val="2"/>
            <w:tcBorders>
              <w:top w:val="single" w:color="000000" w:sz="4" w:space="0"/>
              <w:left w:val="single" w:color="000000" w:sz="4" w:space="0"/>
              <w:bottom w:val="single" w:color="000000" w:sz="4" w:space="0"/>
              <w:right w:val="single" w:color="000000" w:sz="4" w:space="0"/>
            </w:tcBorders>
            <w:vAlign w:val="center"/>
          </w:tcPr>
          <w:p w14:paraId="0775266B">
            <w:pPr>
              <w:pStyle w:val="36"/>
              <w:keepNext w:val="0"/>
              <w:keepLines w:val="0"/>
              <w:pageBreakBefore w:val="0"/>
              <w:widowControl w:val="0"/>
              <w:kinsoku/>
              <w:wordWrap/>
              <w:overflowPunct/>
              <w:topLinePunct w:val="0"/>
              <w:bidi w:val="0"/>
              <w:adjustRightInd/>
              <w:snapToGrid/>
              <w:spacing w:line="360" w:lineRule="auto"/>
              <w:ind w:left="0" w:right="0" w:firstLine="0"/>
              <w:jc w:val="center"/>
              <w:textAlignment w:val="auto"/>
              <w:rPr>
                <w:rFonts w:hint="eastAsia"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color w:val="auto"/>
                <w:sz w:val="21"/>
                <w:szCs w:val="21"/>
                <w:highlight w:val="none"/>
                <w:lang w:val="en-US" w:eastAsia="zh-CN"/>
              </w:rPr>
              <w:t>服务期限</w:t>
            </w:r>
          </w:p>
        </w:tc>
        <w:tc>
          <w:tcPr>
            <w:tcW w:w="6395" w:type="dxa"/>
            <w:tcBorders>
              <w:top w:val="single" w:color="000000" w:sz="4" w:space="0"/>
              <w:left w:val="single" w:color="000000" w:sz="4" w:space="0"/>
              <w:bottom w:val="single" w:color="000000" w:sz="4" w:space="0"/>
              <w:right w:val="single" w:color="000000" w:sz="4" w:space="0"/>
            </w:tcBorders>
            <w:vAlign w:val="center"/>
          </w:tcPr>
          <w:p w14:paraId="04B55611">
            <w:pPr>
              <w:pStyle w:val="36"/>
              <w:keepNext w:val="0"/>
              <w:keepLines w:val="0"/>
              <w:pageBreakBefore w:val="0"/>
              <w:widowControl w:val="0"/>
              <w:kinsoku/>
              <w:wordWrap/>
              <w:overflowPunct/>
              <w:topLinePunct w:val="0"/>
              <w:autoSpaceDE/>
              <w:autoSpaceDN/>
              <w:bidi w:val="0"/>
              <w:adjustRightInd/>
              <w:snapToGrid/>
              <w:spacing w:line="360" w:lineRule="auto"/>
              <w:ind w:left="110" w:leftChars="50" w:right="0" w:firstLine="0"/>
              <w:jc w:val="left"/>
              <w:textAlignment w:val="auto"/>
              <w:rPr>
                <w:rFonts w:hint="eastAsia"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color w:val="auto"/>
                <w:sz w:val="21"/>
                <w:szCs w:val="21"/>
                <w:highlight w:val="none"/>
                <w:lang w:eastAsia="zh-CN"/>
              </w:rPr>
              <w:t>符合供应商须知前附表的规定</w:t>
            </w:r>
          </w:p>
        </w:tc>
      </w:tr>
      <w:tr w14:paraId="3EBBA6A8">
        <w:tblPrEx>
          <w:tblCellMar>
            <w:top w:w="57" w:type="dxa"/>
            <w:left w:w="57" w:type="dxa"/>
            <w:bottom w:w="57" w:type="dxa"/>
            <w:right w:w="57" w:type="dxa"/>
          </w:tblCellMar>
        </w:tblPrEx>
        <w:trPr>
          <w:trHeight w:val="411" w:hRule="atLeast"/>
          <w:jc w:val="center"/>
        </w:trPr>
        <w:tc>
          <w:tcPr>
            <w:tcW w:w="708" w:type="dxa"/>
            <w:vMerge w:val="continue"/>
            <w:tcBorders>
              <w:left w:val="single" w:color="000000" w:sz="4" w:space="0"/>
              <w:right w:val="single" w:color="000000" w:sz="4" w:space="0"/>
            </w:tcBorders>
            <w:vAlign w:val="center"/>
          </w:tcPr>
          <w:p w14:paraId="548D5754">
            <w:pPr>
              <w:keepNext w:val="0"/>
              <w:keepLines w:val="0"/>
              <w:pageBreakBefore w:val="0"/>
              <w:widowControl w:val="0"/>
              <w:kinsoku/>
              <w:wordWrap/>
              <w:overflowPunct/>
              <w:topLinePunct w:val="0"/>
              <w:bidi w:val="0"/>
              <w:adjustRightInd/>
              <w:snapToGrid/>
              <w:spacing w:line="360" w:lineRule="auto"/>
              <w:ind w:left="0" w:right="0" w:firstLine="0"/>
              <w:jc w:val="center"/>
              <w:textAlignment w:val="auto"/>
              <w:rPr>
                <w:rFonts w:hint="eastAsia" w:asciiTheme="minorEastAsia" w:hAnsiTheme="minorEastAsia" w:eastAsiaTheme="minorEastAsia" w:cstheme="minorEastAsia"/>
                <w:color w:val="auto"/>
                <w:sz w:val="21"/>
                <w:szCs w:val="21"/>
                <w:highlight w:val="none"/>
                <w:lang w:eastAsia="zh-CN"/>
              </w:rPr>
            </w:pPr>
          </w:p>
        </w:tc>
        <w:tc>
          <w:tcPr>
            <w:tcW w:w="765" w:type="dxa"/>
            <w:vMerge w:val="continue"/>
            <w:tcBorders>
              <w:left w:val="single" w:color="000000" w:sz="4" w:space="0"/>
              <w:right w:val="single" w:color="000000" w:sz="4" w:space="0"/>
            </w:tcBorders>
            <w:vAlign w:val="center"/>
          </w:tcPr>
          <w:p w14:paraId="78ACE22C">
            <w:pPr>
              <w:keepNext w:val="0"/>
              <w:keepLines w:val="0"/>
              <w:pageBreakBefore w:val="0"/>
              <w:widowControl w:val="0"/>
              <w:kinsoku/>
              <w:wordWrap/>
              <w:overflowPunct/>
              <w:topLinePunct w:val="0"/>
              <w:bidi w:val="0"/>
              <w:adjustRightInd/>
              <w:snapToGrid/>
              <w:spacing w:line="360" w:lineRule="auto"/>
              <w:ind w:left="0" w:right="0" w:firstLine="0"/>
              <w:jc w:val="center"/>
              <w:textAlignment w:val="auto"/>
              <w:rPr>
                <w:rFonts w:hint="eastAsia" w:asciiTheme="minorEastAsia" w:hAnsiTheme="minorEastAsia" w:eastAsiaTheme="minorEastAsia" w:cstheme="minorEastAsia"/>
                <w:color w:val="auto"/>
                <w:sz w:val="21"/>
                <w:szCs w:val="21"/>
                <w:highlight w:val="none"/>
                <w:lang w:eastAsia="zh-CN"/>
              </w:rPr>
            </w:pPr>
          </w:p>
        </w:tc>
        <w:tc>
          <w:tcPr>
            <w:tcW w:w="1916" w:type="dxa"/>
            <w:gridSpan w:val="2"/>
            <w:tcBorders>
              <w:top w:val="single" w:color="000000" w:sz="4" w:space="0"/>
              <w:left w:val="single" w:color="000000" w:sz="4" w:space="0"/>
              <w:bottom w:val="single" w:color="000000" w:sz="4" w:space="0"/>
              <w:right w:val="single" w:color="000000" w:sz="4" w:space="0"/>
            </w:tcBorders>
            <w:vAlign w:val="center"/>
          </w:tcPr>
          <w:p w14:paraId="0213804A">
            <w:pPr>
              <w:pStyle w:val="36"/>
              <w:keepNext w:val="0"/>
              <w:keepLines w:val="0"/>
              <w:pageBreakBefore w:val="0"/>
              <w:widowControl w:val="0"/>
              <w:kinsoku/>
              <w:wordWrap/>
              <w:overflowPunct/>
              <w:topLinePunct w:val="0"/>
              <w:bidi w:val="0"/>
              <w:adjustRightInd/>
              <w:snapToGrid/>
              <w:spacing w:line="360" w:lineRule="auto"/>
              <w:ind w:left="0" w:right="0" w:firstLine="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质量</w:t>
            </w:r>
            <w:r>
              <w:rPr>
                <w:rFonts w:hint="eastAsia" w:asciiTheme="minorEastAsia" w:hAnsiTheme="minorEastAsia" w:eastAsiaTheme="minorEastAsia" w:cstheme="minorEastAsia"/>
                <w:color w:val="auto"/>
                <w:sz w:val="21"/>
                <w:szCs w:val="21"/>
                <w:highlight w:val="none"/>
                <w:lang w:val="en-US" w:eastAsia="zh-CN"/>
              </w:rPr>
              <w:t>标准</w:t>
            </w:r>
          </w:p>
        </w:tc>
        <w:tc>
          <w:tcPr>
            <w:tcW w:w="6395" w:type="dxa"/>
            <w:tcBorders>
              <w:top w:val="single" w:color="000000" w:sz="4" w:space="0"/>
              <w:left w:val="single" w:color="000000" w:sz="4" w:space="0"/>
              <w:bottom w:val="single" w:color="000000" w:sz="4" w:space="0"/>
              <w:right w:val="single" w:color="000000" w:sz="4" w:space="0"/>
            </w:tcBorders>
            <w:vAlign w:val="center"/>
          </w:tcPr>
          <w:p w14:paraId="602C56EB">
            <w:pPr>
              <w:pStyle w:val="36"/>
              <w:keepNext w:val="0"/>
              <w:keepLines w:val="0"/>
              <w:pageBreakBefore w:val="0"/>
              <w:widowControl w:val="0"/>
              <w:kinsoku/>
              <w:wordWrap/>
              <w:overflowPunct/>
              <w:topLinePunct w:val="0"/>
              <w:autoSpaceDE/>
              <w:autoSpaceDN/>
              <w:bidi w:val="0"/>
              <w:adjustRightInd/>
              <w:snapToGrid/>
              <w:spacing w:line="360" w:lineRule="auto"/>
              <w:ind w:left="110" w:leftChars="50" w:right="0" w:firstLine="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符合供应商须知前附表的规定</w:t>
            </w:r>
          </w:p>
        </w:tc>
      </w:tr>
      <w:tr w14:paraId="06DF0358">
        <w:tblPrEx>
          <w:tblCellMar>
            <w:top w:w="57" w:type="dxa"/>
            <w:left w:w="57" w:type="dxa"/>
            <w:bottom w:w="57" w:type="dxa"/>
            <w:right w:w="57" w:type="dxa"/>
          </w:tblCellMar>
        </w:tblPrEx>
        <w:trPr>
          <w:trHeight w:val="792" w:hRule="atLeast"/>
          <w:jc w:val="center"/>
        </w:trPr>
        <w:tc>
          <w:tcPr>
            <w:tcW w:w="708" w:type="dxa"/>
            <w:vMerge w:val="continue"/>
            <w:tcBorders>
              <w:left w:val="single" w:color="000000" w:sz="4" w:space="0"/>
              <w:bottom w:val="single" w:color="000000" w:sz="4" w:space="0"/>
              <w:right w:val="single" w:color="000000" w:sz="4" w:space="0"/>
            </w:tcBorders>
            <w:vAlign w:val="center"/>
          </w:tcPr>
          <w:p w14:paraId="13D66C17">
            <w:pPr>
              <w:keepNext w:val="0"/>
              <w:keepLines w:val="0"/>
              <w:pageBreakBefore w:val="0"/>
              <w:widowControl w:val="0"/>
              <w:kinsoku/>
              <w:wordWrap/>
              <w:overflowPunct/>
              <w:topLinePunct w:val="0"/>
              <w:bidi w:val="0"/>
              <w:adjustRightInd/>
              <w:snapToGrid/>
              <w:spacing w:line="360" w:lineRule="auto"/>
              <w:ind w:left="0" w:right="0" w:firstLine="0"/>
              <w:jc w:val="center"/>
              <w:textAlignment w:val="auto"/>
              <w:rPr>
                <w:rFonts w:hint="eastAsia" w:asciiTheme="minorEastAsia" w:hAnsiTheme="minorEastAsia" w:eastAsiaTheme="minorEastAsia" w:cstheme="minorEastAsia"/>
                <w:color w:val="auto"/>
                <w:sz w:val="21"/>
                <w:szCs w:val="21"/>
                <w:highlight w:val="none"/>
                <w:lang w:eastAsia="zh-CN"/>
              </w:rPr>
            </w:pPr>
          </w:p>
        </w:tc>
        <w:tc>
          <w:tcPr>
            <w:tcW w:w="765" w:type="dxa"/>
            <w:vMerge w:val="continue"/>
            <w:tcBorders>
              <w:left w:val="single" w:color="000000" w:sz="4" w:space="0"/>
              <w:bottom w:val="single" w:color="000000" w:sz="4" w:space="0"/>
              <w:right w:val="single" w:color="000000" w:sz="4" w:space="0"/>
            </w:tcBorders>
            <w:vAlign w:val="center"/>
          </w:tcPr>
          <w:p w14:paraId="7A72C0C6">
            <w:pPr>
              <w:keepNext w:val="0"/>
              <w:keepLines w:val="0"/>
              <w:pageBreakBefore w:val="0"/>
              <w:widowControl w:val="0"/>
              <w:kinsoku/>
              <w:wordWrap/>
              <w:overflowPunct/>
              <w:topLinePunct w:val="0"/>
              <w:bidi w:val="0"/>
              <w:adjustRightInd/>
              <w:snapToGrid/>
              <w:spacing w:line="360" w:lineRule="auto"/>
              <w:ind w:left="0" w:right="0" w:firstLine="0"/>
              <w:jc w:val="center"/>
              <w:textAlignment w:val="auto"/>
              <w:rPr>
                <w:rFonts w:hint="eastAsia" w:asciiTheme="minorEastAsia" w:hAnsiTheme="minorEastAsia" w:eastAsiaTheme="minorEastAsia" w:cstheme="minorEastAsia"/>
                <w:color w:val="auto"/>
                <w:sz w:val="21"/>
                <w:szCs w:val="21"/>
                <w:highlight w:val="none"/>
                <w:lang w:eastAsia="zh-CN"/>
              </w:rPr>
            </w:pPr>
          </w:p>
        </w:tc>
        <w:tc>
          <w:tcPr>
            <w:tcW w:w="1916" w:type="dxa"/>
            <w:gridSpan w:val="2"/>
            <w:tcBorders>
              <w:top w:val="single" w:color="000000" w:sz="4" w:space="0"/>
              <w:left w:val="single" w:color="000000" w:sz="4" w:space="0"/>
              <w:bottom w:val="single" w:color="000000" w:sz="4" w:space="0"/>
              <w:right w:val="single" w:color="000000" w:sz="4" w:space="0"/>
            </w:tcBorders>
            <w:vAlign w:val="center"/>
          </w:tcPr>
          <w:p w14:paraId="1C9D78CD">
            <w:pPr>
              <w:pStyle w:val="36"/>
              <w:keepNext w:val="0"/>
              <w:keepLines w:val="0"/>
              <w:pageBreakBefore w:val="0"/>
              <w:widowControl w:val="0"/>
              <w:kinsoku/>
              <w:wordWrap/>
              <w:overflowPunct/>
              <w:topLinePunct w:val="0"/>
              <w:bidi w:val="0"/>
              <w:adjustRightInd/>
              <w:snapToGrid/>
              <w:spacing w:line="360" w:lineRule="auto"/>
              <w:ind w:left="0" w:right="0" w:firstLine="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磋商有效期</w:t>
            </w:r>
          </w:p>
        </w:tc>
        <w:tc>
          <w:tcPr>
            <w:tcW w:w="6395" w:type="dxa"/>
            <w:tcBorders>
              <w:top w:val="single" w:color="000000" w:sz="4" w:space="0"/>
              <w:left w:val="single" w:color="000000" w:sz="4" w:space="0"/>
              <w:bottom w:val="single" w:color="000000" w:sz="4" w:space="0"/>
              <w:right w:val="single" w:color="000000" w:sz="4" w:space="0"/>
            </w:tcBorders>
            <w:vAlign w:val="center"/>
          </w:tcPr>
          <w:p w14:paraId="3CCBE16B">
            <w:pPr>
              <w:pStyle w:val="36"/>
              <w:keepNext w:val="0"/>
              <w:keepLines w:val="0"/>
              <w:pageBreakBefore w:val="0"/>
              <w:widowControl w:val="0"/>
              <w:kinsoku/>
              <w:wordWrap/>
              <w:overflowPunct/>
              <w:topLinePunct w:val="0"/>
              <w:autoSpaceDE/>
              <w:autoSpaceDN/>
              <w:bidi w:val="0"/>
              <w:adjustRightInd/>
              <w:snapToGrid/>
              <w:spacing w:line="360" w:lineRule="auto"/>
              <w:ind w:left="110" w:leftChars="50" w:right="0" w:firstLine="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符合供应商须知前附表的规定</w:t>
            </w:r>
          </w:p>
        </w:tc>
      </w:tr>
      <w:tr w14:paraId="37B997D0">
        <w:tblPrEx>
          <w:tblCellMar>
            <w:top w:w="57" w:type="dxa"/>
            <w:left w:w="57" w:type="dxa"/>
            <w:bottom w:w="57" w:type="dxa"/>
            <w:right w:w="57" w:type="dxa"/>
          </w:tblCellMar>
        </w:tblPrEx>
        <w:trPr>
          <w:trHeight w:val="1212" w:hRule="atLeast"/>
          <w:jc w:val="center"/>
        </w:trPr>
        <w:tc>
          <w:tcPr>
            <w:tcW w:w="708" w:type="dxa"/>
            <w:tcBorders>
              <w:top w:val="single" w:color="000000" w:sz="4" w:space="0"/>
              <w:left w:val="single" w:color="000000" w:sz="4" w:space="0"/>
              <w:bottom w:val="single" w:color="000000" w:sz="4" w:space="0"/>
              <w:right w:val="single" w:color="000000" w:sz="4" w:space="0"/>
            </w:tcBorders>
            <w:vAlign w:val="center"/>
          </w:tcPr>
          <w:p w14:paraId="2870B697">
            <w:pPr>
              <w:pStyle w:val="36"/>
              <w:keepNext w:val="0"/>
              <w:keepLines w:val="0"/>
              <w:pageBreakBefore w:val="0"/>
              <w:widowControl w:val="0"/>
              <w:kinsoku/>
              <w:wordWrap/>
              <w:overflowPunct/>
              <w:topLinePunct w:val="0"/>
              <w:bidi w:val="0"/>
              <w:adjustRightInd/>
              <w:snapToGrid/>
              <w:spacing w:line="360" w:lineRule="auto"/>
              <w:ind w:left="0" w:right="0" w:firstLine="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2.2</w:t>
            </w:r>
          </w:p>
        </w:tc>
        <w:tc>
          <w:tcPr>
            <w:tcW w:w="2681" w:type="dxa"/>
            <w:gridSpan w:val="3"/>
            <w:tcBorders>
              <w:top w:val="single" w:color="000000" w:sz="4" w:space="0"/>
              <w:left w:val="single" w:color="000000" w:sz="4" w:space="0"/>
              <w:bottom w:val="single" w:color="000000" w:sz="4" w:space="0"/>
              <w:right w:val="single" w:color="000000" w:sz="4" w:space="0"/>
            </w:tcBorders>
            <w:vAlign w:val="center"/>
          </w:tcPr>
          <w:p w14:paraId="422CE16B">
            <w:pPr>
              <w:pStyle w:val="36"/>
              <w:keepNext w:val="0"/>
              <w:keepLines w:val="0"/>
              <w:pageBreakBefore w:val="0"/>
              <w:widowControl w:val="0"/>
              <w:kinsoku/>
              <w:wordWrap/>
              <w:overflowPunct/>
              <w:topLinePunct w:val="0"/>
              <w:bidi w:val="0"/>
              <w:adjustRightInd/>
              <w:snapToGrid/>
              <w:spacing w:line="360" w:lineRule="auto"/>
              <w:ind w:left="0" w:right="0" w:firstLine="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分值构成</w:t>
            </w:r>
          </w:p>
        </w:tc>
        <w:tc>
          <w:tcPr>
            <w:tcW w:w="6395" w:type="dxa"/>
            <w:tcBorders>
              <w:top w:val="single" w:color="000000" w:sz="4" w:space="0"/>
              <w:left w:val="single" w:color="000000" w:sz="4" w:space="0"/>
              <w:bottom w:val="single" w:color="000000" w:sz="4" w:space="0"/>
              <w:right w:val="single" w:color="000000" w:sz="4" w:space="0"/>
            </w:tcBorders>
            <w:vAlign w:val="center"/>
          </w:tcPr>
          <w:p w14:paraId="1671E6DE">
            <w:pPr>
              <w:pStyle w:val="36"/>
              <w:keepNext w:val="0"/>
              <w:keepLines w:val="0"/>
              <w:pageBreakBefore w:val="0"/>
              <w:widowControl w:val="0"/>
              <w:kinsoku/>
              <w:wordWrap/>
              <w:overflowPunct/>
              <w:topLinePunct w:val="0"/>
              <w:autoSpaceDE/>
              <w:autoSpaceDN/>
              <w:bidi w:val="0"/>
              <w:adjustRightInd/>
              <w:snapToGrid/>
              <w:spacing w:line="360" w:lineRule="auto"/>
              <w:ind w:left="110" w:leftChars="50" w:right="0" w:firstLine="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商务</w:t>
            </w:r>
            <w:r>
              <w:rPr>
                <w:rFonts w:hint="eastAsia" w:asciiTheme="minorEastAsia" w:hAnsiTheme="minorEastAsia" w:eastAsiaTheme="minorEastAsia" w:cstheme="minorEastAsia"/>
                <w:color w:val="auto"/>
                <w:sz w:val="21"/>
                <w:szCs w:val="21"/>
                <w:highlight w:val="none"/>
                <w:lang w:eastAsia="zh-CN"/>
              </w:rPr>
              <w:t>部分：</w:t>
            </w:r>
            <w:r>
              <w:rPr>
                <w:rFonts w:hint="eastAsia" w:asciiTheme="minorEastAsia" w:hAnsiTheme="minorEastAsia" w:eastAsiaTheme="minorEastAsia" w:cstheme="minorEastAsia"/>
                <w:color w:val="auto"/>
                <w:sz w:val="21"/>
                <w:szCs w:val="21"/>
                <w:highlight w:val="none"/>
                <w:lang w:val="en-US" w:eastAsia="zh-CN"/>
              </w:rPr>
              <w:t>20</w:t>
            </w:r>
            <w:r>
              <w:rPr>
                <w:rFonts w:hint="eastAsia" w:asciiTheme="minorEastAsia" w:hAnsiTheme="minorEastAsia" w:eastAsiaTheme="minorEastAsia" w:cstheme="minorEastAsia"/>
                <w:color w:val="auto"/>
                <w:sz w:val="21"/>
                <w:szCs w:val="21"/>
                <w:highlight w:val="none"/>
                <w:lang w:eastAsia="zh-CN"/>
              </w:rPr>
              <w:t>分</w:t>
            </w:r>
          </w:p>
          <w:p w14:paraId="29D6AD27">
            <w:pPr>
              <w:pStyle w:val="36"/>
              <w:keepNext w:val="0"/>
              <w:keepLines w:val="0"/>
              <w:pageBreakBefore w:val="0"/>
              <w:widowControl w:val="0"/>
              <w:kinsoku/>
              <w:wordWrap/>
              <w:overflowPunct/>
              <w:topLinePunct w:val="0"/>
              <w:autoSpaceDE/>
              <w:autoSpaceDN/>
              <w:bidi w:val="0"/>
              <w:adjustRightInd/>
              <w:snapToGrid/>
              <w:spacing w:line="360" w:lineRule="auto"/>
              <w:ind w:left="110" w:leftChars="50" w:right="0" w:firstLine="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技术部分：</w:t>
            </w:r>
            <w:r>
              <w:rPr>
                <w:rFonts w:hint="eastAsia" w:asciiTheme="minorEastAsia" w:hAnsiTheme="minorEastAsia" w:eastAsiaTheme="minorEastAsia" w:cstheme="minorEastAsia"/>
                <w:color w:val="auto"/>
                <w:sz w:val="21"/>
                <w:szCs w:val="21"/>
                <w:highlight w:val="none"/>
                <w:lang w:val="en-US" w:eastAsia="zh-CN"/>
              </w:rPr>
              <w:t>41</w:t>
            </w:r>
            <w:r>
              <w:rPr>
                <w:rFonts w:hint="eastAsia" w:asciiTheme="minorEastAsia" w:hAnsiTheme="minorEastAsia" w:eastAsiaTheme="minorEastAsia" w:cstheme="minorEastAsia"/>
                <w:color w:val="auto"/>
                <w:sz w:val="21"/>
                <w:szCs w:val="21"/>
                <w:highlight w:val="none"/>
                <w:lang w:eastAsia="zh-CN"/>
              </w:rPr>
              <w:t>分</w:t>
            </w:r>
          </w:p>
          <w:p w14:paraId="64393F8C">
            <w:pPr>
              <w:pStyle w:val="36"/>
              <w:keepNext w:val="0"/>
              <w:keepLines w:val="0"/>
              <w:pageBreakBefore w:val="0"/>
              <w:widowControl w:val="0"/>
              <w:kinsoku/>
              <w:wordWrap/>
              <w:overflowPunct/>
              <w:topLinePunct w:val="0"/>
              <w:autoSpaceDE/>
              <w:autoSpaceDN/>
              <w:bidi w:val="0"/>
              <w:adjustRightInd/>
              <w:snapToGrid/>
              <w:spacing w:line="360" w:lineRule="auto"/>
              <w:ind w:left="110" w:leftChars="50" w:right="0" w:firstLine="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综合部分：39分</w:t>
            </w:r>
          </w:p>
        </w:tc>
      </w:tr>
      <w:tr w14:paraId="6291AADF">
        <w:tblPrEx>
          <w:tblCellMar>
            <w:top w:w="57" w:type="dxa"/>
            <w:left w:w="57" w:type="dxa"/>
            <w:bottom w:w="57" w:type="dxa"/>
            <w:right w:w="57" w:type="dxa"/>
          </w:tblCellMar>
        </w:tblPrEx>
        <w:trPr>
          <w:trHeight w:val="411" w:hRule="atLeast"/>
          <w:jc w:val="center"/>
        </w:trPr>
        <w:tc>
          <w:tcPr>
            <w:tcW w:w="9784" w:type="dxa"/>
            <w:gridSpan w:val="5"/>
            <w:tcBorders>
              <w:top w:val="single" w:color="000000" w:sz="4" w:space="0"/>
              <w:left w:val="single" w:color="000000" w:sz="4" w:space="0"/>
              <w:bottom w:val="single" w:color="000000" w:sz="4" w:space="0"/>
              <w:right w:val="single" w:color="000000" w:sz="4" w:space="0"/>
            </w:tcBorders>
            <w:vAlign w:val="center"/>
          </w:tcPr>
          <w:p w14:paraId="6AD8984E">
            <w:pPr>
              <w:pStyle w:val="36"/>
              <w:keepNext w:val="0"/>
              <w:keepLines w:val="0"/>
              <w:pageBreakBefore w:val="0"/>
              <w:widowControl w:val="0"/>
              <w:kinsoku/>
              <w:wordWrap/>
              <w:overflowPunct/>
              <w:topLinePunct w:val="0"/>
              <w:bidi w:val="0"/>
              <w:adjustRightInd/>
              <w:snapToGrid/>
              <w:spacing w:line="360" w:lineRule="auto"/>
              <w:ind w:left="0" w:right="0" w:firstLine="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详细评审内容</w:t>
            </w:r>
          </w:p>
        </w:tc>
      </w:tr>
      <w:tr w14:paraId="61529054">
        <w:tblPrEx>
          <w:tblCellMar>
            <w:top w:w="57" w:type="dxa"/>
            <w:left w:w="57" w:type="dxa"/>
            <w:bottom w:w="57" w:type="dxa"/>
            <w:right w:w="57" w:type="dxa"/>
          </w:tblCellMar>
        </w:tblPrEx>
        <w:trPr>
          <w:trHeight w:val="411" w:hRule="atLeast"/>
          <w:jc w:val="center"/>
        </w:trPr>
        <w:tc>
          <w:tcPr>
            <w:tcW w:w="708" w:type="dxa"/>
            <w:tcBorders>
              <w:top w:val="single" w:color="000000" w:sz="4" w:space="0"/>
              <w:left w:val="single" w:color="000000" w:sz="4" w:space="0"/>
              <w:bottom w:val="single" w:color="000000" w:sz="4" w:space="0"/>
              <w:right w:val="single" w:color="000000" w:sz="4" w:space="0"/>
            </w:tcBorders>
            <w:vAlign w:val="center"/>
          </w:tcPr>
          <w:p w14:paraId="4C86B573">
            <w:pPr>
              <w:pStyle w:val="36"/>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b/>
                <w:color w:val="auto"/>
                <w:sz w:val="21"/>
                <w:szCs w:val="21"/>
                <w:highlight w:val="none"/>
              </w:rPr>
              <w:t>序号</w:t>
            </w:r>
          </w:p>
        </w:tc>
        <w:tc>
          <w:tcPr>
            <w:tcW w:w="1207" w:type="dxa"/>
            <w:gridSpan w:val="2"/>
            <w:tcBorders>
              <w:top w:val="single" w:color="000000" w:sz="4" w:space="0"/>
              <w:left w:val="single" w:color="000000" w:sz="4" w:space="0"/>
              <w:bottom w:val="single" w:color="000000" w:sz="4" w:space="0"/>
              <w:right w:val="single" w:color="000000" w:sz="4" w:space="0"/>
            </w:tcBorders>
            <w:vAlign w:val="center"/>
          </w:tcPr>
          <w:p w14:paraId="2E96DC66">
            <w:pPr>
              <w:pStyle w:val="36"/>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color w:val="auto"/>
                <w:sz w:val="21"/>
                <w:szCs w:val="21"/>
                <w:highlight w:val="none"/>
              </w:rPr>
              <w:t>类别</w:t>
            </w:r>
          </w:p>
        </w:tc>
        <w:tc>
          <w:tcPr>
            <w:tcW w:w="1474" w:type="dxa"/>
            <w:tcBorders>
              <w:top w:val="single" w:color="000000" w:sz="4" w:space="0"/>
              <w:left w:val="single" w:color="000000" w:sz="4" w:space="0"/>
              <w:bottom w:val="single" w:color="000000" w:sz="4" w:space="0"/>
              <w:right w:val="single" w:color="000000" w:sz="4" w:space="0"/>
            </w:tcBorders>
            <w:vAlign w:val="center"/>
          </w:tcPr>
          <w:p w14:paraId="6F630E20">
            <w:pPr>
              <w:pStyle w:val="36"/>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color w:val="auto"/>
                <w:sz w:val="21"/>
                <w:szCs w:val="21"/>
                <w:highlight w:val="none"/>
              </w:rPr>
              <w:t>评分因素</w:t>
            </w:r>
          </w:p>
        </w:tc>
        <w:tc>
          <w:tcPr>
            <w:tcW w:w="6395" w:type="dxa"/>
            <w:tcBorders>
              <w:top w:val="single" w:color="000000" w:sz="4" w:space="0"/>
              <w:left w:val="single" w:color="000000" w:sz="4" w:space="0"/>
              <w:bottom w:val="single" w:color="000000" w:sz="4" w:space="0"/>
              <w:right w:val="single" w:color="000000" w:sz="4" w:space="0"/>
            </w:tcBorders>
            <w:vAlign w:val="center"/>
          </w:tcPr>
          <w:p w14:paraId="76F5E3A5">
            <w:pPr>
              <w:pStyle w:val="36"/>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b/>
                <w:color w:val="auto"/>
                <w:sz w:val="21"/>
                <w:szCs w:val="21"/>
                <w:highlight w:val="none"/>
              </w:rPr>
              <w:t>评分标准</w:t>
            </w:r>
          </w:p>
        </w:tc>
      </w:tr>
      <w:tr w14:paraId="4A80B544">
        <w:tblPrEx>
          <w:tblCellMar>
            <w:top w:w="57" w:type="dxa"/>
            <w:left w:w="57" w:type="dxa"/>
            <w:bottom w:w="57" w:type="dxa"/>
            <w:right w:w="57" w:type="dxa"/>
          </w:tblCellMar>
        </w:tblPrEx>
        <w:trPr>
          <w:trHeight w:val="2211" w:hRule="atLeast"/>
          <w:jc w:val="center"/>
        </w:trPr>
        <w:tc>
          <w:tcPr>
            <w:tcW w:w="708" w:type="dxa"/>
            <w:tcBorders>
              <w:top w:val="single" w:color="000000" w:sz="4" w:space="0"/>
              <w:left w:val="single" w:color="000000" w:sz="4" w:space="0"/>
              <w:bottom w:val="single" w:color="000000" w:sz="4" w:space="0"/>
              <w:right w:val="single" w:color="000000" w:sz="4" w:space="0"/>
            </w:tcBorders>
            <w:vAlign w:val="center"/>
          </w:tcPr>
          <w:p w14:paraId="4310ADED">
            <w:pPr>
              <w:pStyle w:val="36"/>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1207" w:type="dxa"/>
            <w:gridSpan w:val="2"/>
            <w:tcBorders>
              <w:top w:val="single" w:color="000000" w:sz="4" w:space="0"/>
              <w:left w:val="single" w:color="000000" w:sz="4" w:space="0"/>
              <w:bottom w:val="single" w:color="000000" w:sz="4" w:space="0"/>
              <w:right w:val="single" w:color="000000" w:sz="4" w:space="0"/>
            </w:tcBorders>
            <w:vAlign w:val="center"/>
          </w:tcPr>
          <w:p w14:paraId="0643E41A">
            <w:pPr>
              <w:pStyle w:val="36"/>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Theme="minorEastAsia" w:hAnsiTheme="minorEastAsia" w:eastAsiaTheme="minorEastAsia" w:cstheme="minorEastAsia"/>
                <w:b/>
                <w:color w:val="auto"/>
                <w:sz w:val="21"/>
                <w:szCs w:val="21"/>
                <w:highlight w:val="none"/>
                <w:lang w:val="en-US" w:eastAsia="zh-CN"/>
              </w:rPr>
            </w:pPr>
            <w:r>
              <w:rPr>
                <w:rFonts w:hint="eastAsia" w:asciiTheme="minorEastAsia" w:hAnsiTheme="minorEastAsia" w:eastAsiaTheme="minorEastAsia" w:cstheme="minorEastAsia"/>
                <w:b/>
                <w:color w:val="auto"/>
                <w:sz w:val="21"/>
                <w:szCs w:val="21"/>
                <w:highlight w:val="none"/>
                <w:lang w:val="en-US" w:eastAsia="zh-CN"/>
              </w:rPr>
              <w:t>商务部分</w:t>
            </w:r>
            <w:r>
              <w:rPr>
                <w:rFonts w:hint="eastAsia" w:asciiTheme="minorEastAsia" w:hAnsiTheme="minorEastAsia" w:eastAsiaTheme="minorEastAsia" w:cstheme="minorEastAsia"/>
                <w:b/>
                <w:bCs/>
                <w:color w:val="auto"/>
                <w:sz w:val="21"/>
                <w:szCs w:val="21"/>
                <w:highlight w:val="none"/>
                <w:lang w:val="en-US" w:eastAsia="zh-CN"/>
              </w:rPr>
              <w:t>（30分）</w:t>
            </w:r>
          </w:p>
        </w:tc>
        <w:tc>
          <w:tcPr>
            <w:tcW w:w="1474" w:type="dxa"/>
            <w:tcBorders>
              <w:top w:val="single" w:color="000000" w:sz="4" w:space="0"/>
              <w:left w:val="single" w:color="000000" w:sz="4" w:space="0"/>
              <w:bottom w:val="single" w:color="000000" w:sz="4" w:space="0"/>
              <w:right w:val="single" w:color="000000" w:sz="4" w:space="0"/>
            </w:tcBorders>
            <w:vAlign w:val="center"/>
          </w:tcPr>
          <w:p w14:paraId="7EA60770">
            <w:pPr>
              <w:pStyle w:val="36"/>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竞标</w:t>
            </w:r>
            <w:r>
              <w:rPr>
                <w:rFonts w:hint="eastAsia" w:asciiTheme="minorEastAsia" w:hAnsiTheme="minorEastAsia" w:eastAsiaTheme="minorEastAsia" w:cstheme="minorEastAsia"/>
                <w:color w:val="auto"/>
                <w:sz w:val="21"/>
                <w:szCs w:val="21"/>
                <w:highlight w:val="none"/>
              </w:rPr>
              <w:t>报价</w:t>
            </w:r>
          </w:p>
          <w:p w14:paraId="496FA185">
            <w:pPr>
              <w:pStyle w:val="36"/>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30</w:t>
            </w:r>
            <w:r>
              <w:rPr>
                <w:rFonts w:hint="eastAsia" w:asciiTheme="minorEastAsia" w:hAnsiTheme="minorEastAsia" w:eastAsiaTheme="minorEastAsia" w:cstheme="minorEastAsia"/>
                <w:color w:val="auto"/>
                <w:spacing w:val="-30"/>
                <w:sz w:val="21"/>
                <w:szCs w:val="21"/>
                <w:highlight w:val="none"/>
              </w:rPr>
              <w:t>分</w:t>
            </w:r>
            <w:r>
              <w:rPr>
                <w:rFonts w:hint="eastAsia" w:asciiTheme="minorEastAsia" w:hAnsiTheme="minorEastAsia" w:eastAsiaTheme="minorEastAsia" w:cstheme="minorEastAsia"/>
                <w:color w:val="auto"/>
                <w:sz w:val="21"/>
                <w:szCs w:val="21"/>
                <w:highlight w:val="none"/>
              </w:rPr>
              <w:t>）</w:t>
            </w:r>
          </w:p>
        </w:tc>
        <w:tc>
          <w:tcPr>
            <w:tcW w:w="6395" w:type="dxa"/>
            <w:tcBorders>
              <w:top w:val="single" w:color="000000" w:sz="4" w:space="0"/>
              <w:left w:val="single" w:color="000000" w:sz="4" w:space="0"/>
              <w:bottom w:val="single" w:color="000000" w:sz="4" w:space="0"/>
              <w:right w:val="single" w:color="000000" w:sz="4" w:space="0"/>
            </w:tcBorders>
            <w:vAlign w:val="center"/>
          </w:tcPr>
          <w:p w14:paraId="38B592A1">
            <w:pPr>
              <w:numPr>
                <w:ilvl w:val="0"/>
                <w:numId w:val="4"/>
              </w:numPr>
              <w:spacing w:after="0" w:line="400" w:lineRule="exact"/>
              <w:jc w:val="both"/>
              <w:rPr>
                <w:rFonts w:hint="eastAsia" w:ascii="宋体" w:hAnsi="宋体" w:eastAsia="宋体" w:cs="宋体"/>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竞标</w:t>
            </w:r>
            <w:r>
              <w:rPr>
                <w:rFonts w:hint="eastAsia" w:ascii="宋体" w:hAnsi="宋体" w:eastAsia="宋体" w:cs="宋体"/>
                <w:color w:val="auto"/>
                <w:sz w:val="21"/>
                <w:szCs w:val="21"/>
                <w:highlight w:val="none"/>
              </w:rPr>
              <w:t>报价（</w:t>
            </w:r>
            <w:r>
              <w:rPr>
                <w:rFonts w:hint="eastAsia" w:asciiTheme="minorEastAsia" w:hAnsiTheme="minorEastAsia" w:eastAsiaTheme="minorEastAsia" w:cstheme="minorEastAsia"/>
                <w:color w:val="auto"/>
                <w:sz w:val="21"/>
                <w:szCs w:val="21"/>
                <w:highlight w:val="none"/>
                <w:lang w:val="en-US" w:eastAsia="zh-CN"/>
              </w:rPr>
              <w:t>竞标</w:t>
            </w:r>
            <w:r>
              <w:rPr>
                <w:rFonts w:hint="eastAsia" w:ascii="宋体" w:hAnsi="宋体" w:eastAsia="宋体" w:cs="宋体"/>
                <w:color w:val="auto"/>
                <w:sz w:val="21"/>
                <w:szCs w:val="21"/>
                <w:highlight w:val="none"/>
              </w:rPr>
              <w:t>报价系数）作为评分基础。</w:t>
            </w:r>
          </w:p>
          <w:p w14:paraId="216FD791">
            <w:pPr>
              <w:spacing w:after="0" w:line="400" w:lineRule="exact"/>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以通过初步评审投标未被否决的投标人报价（投标报价系数）的算术平均值作为评标基准（A）。计算公式：A=（B1+B2+B3+...+Bn）/n</w:t>
            </w:r>
          </w:p>
          <w:p w14:paraId="14DB492D">
            <w:pPr>
              <w:pStyle w:val="36"/>
              <w:keepNext w:val="0"/>
              <w:keepLines w:val="0"/>
              <w:pageBreakBefore w:val="0"/>
              <w:widowControl w:val="0"/>
              <w:kinsoku/>
              <w:wordWrap/>
              <w:overflowPunct/>
              <w:topLinePunct w:val="0"/>
              <w:autoSpaceDE/>
              <w:autoSpaceDN/>
              <w:bidi w:val="0"/>
              <w:adjustRightInd/>
              <w:snapToGrid/>
              <w:spacing w:line="340" w:lineRule="exact"/>
              <w:ind w:right="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）评分时以</w:t>
            </w:r>
            <w:r>
              <w:rPr>
                <w:rFonts w:hint="eastAsia" w:asciiTheme="minorEastAsia" w:hAnsiTheme="minorEastAsia" w:eastAsiaTheme="minorEastAsia" w:cstheme="minorEastAsia"/>
                <w:color w:val="auto"/>
                <w:sz w:val="21"/>
                <w:szCs w:val="21"/>
                <w:highlight w:val="none"/>
                <w:lang w:val="en-US" w:eastAsia="zh-CN"/>
              </w:rPr>
              <w:t>竞标</w:t>
            </w:r>
            <w:r>
              <w:rPr>
                <w:rFonts w:hint="eastAsia" w:ascii="宋体" w:hAnsi="宋体" w:eastAsia="宋体" w:cs="宋体"/>
                <w:color w:val="auto"/>
                <w:sz w:val="21"/>
                <w:szCs w:val="21"/>
                <w:highlight w:val="none"/>
              </w:rPr>
              <w:t>报价（</w:t>
            </w:r>
            <w:r>
              <w:rPr>
                <w:rFonts w:hint="eastAsia" w:asciiTheme="minorEastAsia" w:hAnsiTheme="minorEastAsia" w:eastAsiaTheme="minorEastAsia" w:cstheme="minorEastAsia"/>
                <w:color w:val="auto"/>
                <w:sz w:val="21"/>
                <w:szCs w:val="21"/>
                <w:highlight w:val="none"/>
                <w:lang w:val="en-US" w:eastAsia="zh-CN"/>
              </w:rPr>
              <w:t>竞标</w:t>
            </w:r>
            <w:r>
              <w:rPr>
                <w:rFonts w:hint="eastAsia" w:ascii="宋体" w:hAnsi="宋体" w:eastAsia="宋体" w:cs="宋体"/>
                <w:color w:val="auto"/>
                <w:sz w:val="21"/>
                <w:szCs w:val="21"/>
                <w:highlight w:val="none"/>
              </w:rPr>
              <w:t>报价系数）等于评标基准价为满分，采用内插法计算，投标人报价每高于或低于评标基准价1％的扣1.5分，扣完为止，计算出投标人的投标报价得分。</w:t>
            </w:r>
            <w:r>
              <w:rPr>
                <w:rFonts w:hint="eastAsia" w:ascii="宋体" w:hAnsi="宋体" w:eastAsia="宋体" w:cs="宋体"/>
                <w:i w:val="0"/>
                <w:color w:val="auto"/>
                <w:kern w:val="0"/>
                <w:sz w:val="21"/>
                <w:szCs w:val="21"/>
                <w:highlight w:val="none"/>
                <w:u w:val="none"/>
                <w:lang w:val="en-US" w:eastAsia="en-US" w:bidi="ar"/>
              </w:rPr>
              <w:t>。</w:t>
            </w:r>
          </w:p>
        </w:tc>
      </w:tr>
      <w:tr w14:paraId="5EAE51D5">
        <w:tblPrEx>
          <w:tblCellMar>
            <w:top w:w="57" w:type="dxa"/>
            <w:left w:w="57" w:type="dxa"/>
            <w:bottom w:w="57" w:type="dxa"/>
            <w:right w:w="57" w:type="dxa"/>
          </w:tblCellMar>
        </w:tblPrEx>
        <w:trPr>
          <w:trHeight w:val="737" w:hRule="atLeast"/>
          <w:jc w:val="center"/>
        </w:trPr>
        <w:tc>
          <w:tcPr>
            <w:tcW w:w="708" w:type="dxa"/>
            <w:tcBorders>
              <w:left w:val="single" w:color="000000" w:sz="4" w:space="0"/>
              <w:bottom w:val="single" w:color="auto" w:sz="4" w:space="0"/>
              <w:right w:val="single" w:color="000000" w:sz="4" w:space="0"/>
            </w:tcBorders>
            <w:vAlign w:val="center"/>
          </w:tcPr>
          <w:p w14:paraId="606700DB">
            <w:pPr>
              <w:pStyle w:val="36"/>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1207" w:type="dxa"/>
            <w:gridSpan w:val="2"/>
            <w:tcBorders>
              <w:left w:val="single" w:color="000000" w:sz="4" w:space="0"/>
              <w:bottom w:val="single" w:color="auto" w:sz="4" w:space="0"/>
              <w:right w:val="single" w:color="auto" w:sz="4" w:space="0"/>
            </w:tcBorders>
            <w:vAlign w:val="center"/>
          </w:tcPr>
          <w:p w14:paraId="7B548AD7">
            <w:pPr>
              <w:pStyle w:val="36"/>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b/>
                <w:color w:val="auto"/>
                <w:sz w:val="21"/>
                <w:szCs w:val="21"/>
                <w:highlight w:val="none"/>
                <w:lang w:val="en-US" w:eastAsia="zh-CN"/>
              </w:rPr>
              <w:t>技术部分（35分）</w:t>
            </w:r>
          </w:p>
        </w:tc>
        <w:tc>
          <w:tcPr>
            <w:tcW w:w="1474" w:type="dxa"/>
            <w:tcBorders>
              <w:top w:val="single" w:color="auto" w:sz="4" w:space="0"/>
              <w:left w:val="single" w:color="auto" w:sz="4" w:space="0"/>
              <w:bottom w:val="single" w:color="auto" w:sz="4" w:space="0"/>
              <w:right w:val="single" w:color="auto" w:sz="4" w:space="0"/>
            </w:tcBorders>
            <w:vAlign w:val="center"/>
          </w:tcPr>
          <w:p w14:paraId="0E1D2ED9">
            <w:pPr>
              <w:keepNext w:val="0"/>
              <w:keepLines w:val="0"/>
              <w:pageBreakBefore w:val="0"/>
              <w:kinsoku/>
              <w:wordWrap/>
              <w:overflowPunct/>
              <w:topLinePunct w:val="0"/>
              <w:bidi w:val="0"/>
              <w:snapToGrid/>
              <w:spacing w:line="240" w:lineRule="auto"/>
              <w:ind w:left="0" w:leftChars="0" w:firstLine="0" w:firstLineChars="0"/>
              <w:jc w:val="center"/>
              <w:textAlignment w:val="auto"/>
              <w:rPr>
                <w:rFonts w:hint="eastAsia" w:asciiTheme="minorEastAsia" w:hAnsiTheme="minorEastAsia" w:eastAsiaTheme="minorEastAsia" w:cstheme="minorEastAsia"/>
                <w:color w:val="auto"/>
                <w:sz w:val="21"/>
                <w:szCs w:val="21"/>
                <w:highlight w:val="none"/>
                <w:lang w:val="en-US" w:eastAsia="zh-CN" w:bidi="ar-SA"/>
              </w:rPr>
            </w:pPr>
            <w:r>
              <w:rPr>
                <w:rFonts w:hint="eastAsia" w:ascii="宋体" w:hAnsi="宋体" w:eastAsia="宋体" w:cs="宋体"/>
                <w:i w:val="0"/>
                <w:color w:val="auto"/>
                <w:kern w:val="0"/>
                <w:sz w:val="21"/>
                <w:szCs w:val="21"/>
                <w:highlight w:val="none"/>
                <w:u w:val="none"/>
                <w:lang w:val="en-US" w:eastAsia="zh-CN" w:bidi="ar"/>
              </w:rPr>
              <w:t>项目实施方案</w:t>
            </w:r>
            <w:r>
              <w:rPr>
                <w:rFonts w:hint="eastAsia" w:ascii="宋体" w:hAnsi="宋体" w:eastAsia="宋体" w:cs="宋体"/>
                <w:i w:val="0"/>
                <w:color w:val="auto"/>
                <w:kern w:val="0"/>
                <w:sz w:val="21"/>
                <w:szCs w:val="21"/>
                <w:highlight w:val="none"/>
                <w:u w:val="none"/>
                <w:lang w:val="en-US" w:eastAsia="en-US" w:bidi="ar"/>
              </w:rPr>
              <w:t>（</w:t>
            </w:r>
            <w:r>
              <w:rPr>
                <w:rFonts w:hint="eastAsia" w:ascii="宋体" w:hAnsi="宋体" w:eastAsia="宋体" w:cs="宋体"/>
                <w:i w:val="0"/>
                <w:color w:val="auto"/>
                <w:kern w:val="0"/>
                <w:sz w:val="21"/>
                <w:szCs w:val="21"/>
                <w:highlight w:val="none"/>
                <w:u w:val="none"/>
                <w:lang w:val="en-US" w:eastAsia="zh-CN" w:bidi="ar"/>
              </w:rPr>
              <w:t>35</w:t>
            </w:r>
            <w:r>
              <w:rPr>
                <w:rFonts w:hint="eastAsia" w:ascii="宋体" w:hAnsi="宋体" w:eastAsia="宋体" w:cs="宋体"/>
                <w:i w:val="0"/>
                <w:color w:val="auto"/>
                <w:kern w:val="0"/>
                <w:sz w:val="21"/>
                <w:szCs w:val="21"/>
                <w:highlight w:val="none"/>
                <w:u w:val="none"/>
                <w:lang w:val="en-US" w:eastAsia="en-US" w:bidi="ar"/>
              </w:rPr>
              <w:t>分）</w:t>
            </w:r>
          </w:p>
        </w:tc>
        <w:tc>
          <w:tcPr>
            <w:tcW w:w="6395" w:type="dxa"/>
            <w:tcBorders>
              <w:top w:val="single" w:color="000000" w:sz="4" w:space="0"/>
              <w:left w:val="single" w:color="auto" w:sz="4" w:space="0"/>
              <w:bottom w:val="single" w:color="auto" w:sz="4" w:space="0"/>
              <w:right w:val="single" w:color="000000" w:sz="4" w:space="0"/>
            </w:tcBorders>
            <w:vAlign w:val="center"/>
          </w:tcPr>
          <w:p w14:paraId="6EE3A1CD">
            <w:pPr>
              <w:pStyle w:val="14"/>
              <w:spacing w:line="380" w:lineRule="exact"/>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由评委在打分前根据</w:t>
            </w:r>
            <w:r>
              <w:rPr>
                <w:rFonts w:hint="eastAsia" w:asciiTheme="minorEastAsia" w:hAnsiTheme="minorEastAsia" w:eastAsiaTheme="minorEastAsia" w:cstheme="minorEastAsia"/>
                <w:color w:val="auto"/>
                <w:sz w:val="21"/>
                <w:szCs w:val="21"/>
                <w:highlight w:val="none"/>
                <w:lang w:val="en-US" w:eastAsia="zh-CN"/>
              </w:rPr>
              <w:t>竞标</w:t>
            </w:r>
            <w:r>
              <w:rPr>
                <w:rFonts w:hint="eastAsia" w:ascii="宋体" w:hAnsi="宋体" w:eastAsia="宋体" w:cs="宋体"/>
                <w:i w:val="0"/>
                <w:color w:val="auto"/>
                <w:kern w:val="0"/>
                <w:sz w:val="21"/>
                <w:szCs w:val="21"/>
                <w:highlight w:val="none"/>
                <w:u w:val="none"/>
                <w:lang w:val="en-US" w:eastAsia="zh-CN" w:bidi="ar"/>
              </w:rPr>
              <w:t>人提供的项目实施方案，集体讨论确定投标人的档次，并由评委在相应的档次内独立打分。</w:t>
            </w:r>
          </w:p>
          <w:p w14:paraId="0E92E23F">
            <w:pPr>
              <w:pStyle w:val="14"/>
              <w:spacing w:line="380" w:lineRule="exact"/>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一档（0.1～12分）：对</w:t>
            </w:r>
            <w:r>
              <w:rPr>
                <w:rFonts w:hint="eastAsia" w:hAnsi="宋体" w:cs="宋体"/>
                <w:i w:val="0"/>
                <w:color w:val="auto"/>
                <w:kern w:val="0"/>
                <w:sz w:val="21"/>
                <w:szCs w:val="21"/>
                <w:highlight w:val="none"/>
                <w:u w:val="none"/>
                <w:lang w:val="en-US" w:eastAsia="zh-CN" w:bidi="ar"/>
              </w:rPr>
              <w:t>勘察</w:t>
            </w:r>
            <w:r>
              <w:rPr>
                <w:rFonts w:hint="eastAsia" w:ascii="宋体" w:hAnsi="宋体" w:eastAsia="宋体" w:cs="宋体"/>
                <w:i w:val="0"/>
                <w:color w:val="auto"/>
                <w:kern w:val="0"/>
                <w:sz w:val="21"/>
                <w:szCs w:val="21"/>
                <w:highlight w:val="none"/>
                <w:u w:val="none"/>
                <w:lang w:val="en-US" w:eastAsia="zh-CN" w:bidi="ar"/>
              </w:rPr>
              <w:t>项目认识不足，思路不够清晰，措施不够具体，</w:t>
            </w:r>
            <w:r>
              <w:rPr>
                <w:rFonts w:hint="eastAsia" w:hAnsi="宋体" w:cs="宋体"/>
                <w:i w:val="0"/>
                <w:color w:val="auto"/>
                <w:kern w:val="0"/>
                <w:sz w:val="21"/>
                <w:szCs w:val="21"/>
                <w:highlight w:val="none"/>
                <w:u w:val="none"/>
                <w:lang w:val="en-US" w:eastAsia="zh-CN" w:bidi="ar"/>
              </w:rPr>
              <w:t>勘察</w:t>
            </w:r>
            <w:r>
              <w:rPr>
                <w:rFonts w:hint="eastAsia" w:ascii="宋体" w:hAnsi="宋体" w:eastAsia="宋体" w:cs="宋体"/>
                <w:i w:val="0"/>
                <w:color w:val="auto"/>
                <w:kern w:val="0"/>
                <w:sz w:val="21"/>
                <w:szCs w:val="21"/>
                <w:highlight w:val="none"/>
                <w:u w:val="none"/>
                <w:lang w:val="en-US" w:eastAsia="zh-CN" w:bidi="ar"/>
              </w:rPr>
              <w:t>方案不够合理。</w:t>
            </w:r>
          </w:p>
          <w:p w14:paraId="59CBDE24">
            <w:pPr>
              <w:pStyle w:val="14"/>
              <w:spacing w:line="380" w:lineRule="exact"/>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二档(12.1～24分)：</w:t>
            </w:r>
            <w:r>
              <w:rPr>
                <w:rFonts w:hint="eastAsia" w:hAnsi="宋体" w:cs="宋体"/>
                <w:i w:val="0"/>
                <w:color w:val="auto"/>
                <w:kern w:val="0"/>
                <w:sz w:val="21"/>
                <w:szCs w:val="21"/>
                <w:highlight w:val="none"/>
                <w:u w:val="none"/>
                <w:lang w:val="en-US" w:eastAsia="zh-CN" w:bidi="ar"/>
              </w:rPr>
              <w:t>勘察</w:t>
            </w:r>
            <w:r>
              <w:rPr>
                <w:rFonts w:hint="eastAsia" w:ascii="宋体" w:hAnsi="宋体" w:eastAsia="宋体" w:cs="宋体"/>
                <w:i w:val="0"/>
                <w:color w:val="auto"/>
                <w:kern w:val="0"/>
                <w:sz w:val="21"/>
                <w:szCs w:val="21"/>
                <w:highlight w:val="none"/>
                <w:u w:val="none"/>
                <w:lang w:val="en-US" w:eastAsia="zh-CN" w:bidi="ar"/>
              </w:rPr>
              <w:t>方案基本可行，表述清晰、完整，有一定措施，满足规划要求。</w:t>
            </w:r>
          </w:p>
          <w:p w14:paraId="3A393294">
            <w:pPr>
              <w:pStyle w:val="36"/>
              <w:keepNext w:val="0"/>
              <w:keepLines w:val="0"/>
              <w:pageBreakBefore w:val="0"/>
              <w:widowControl w:val="0"/>
              <w:kinsoku/>
              <w:wordWrap/>
              <w:overflowPunct/>
              <w:topLinePunct w:val="0"/>
              <w:autoSpaceDE/>
              <w:autoSpaceDN/>
              <w:bidi w:val="0"/>
              <w:adjustRightInd/>
              <w:snapToGrid/>
              <w:spacing w:line="340" w:lineRule="exact"/>
              <w:ind w:right="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color w:val="auto"/>
                <w:kern w:val="0"/>
                <w:sz w:val="21"/>
                <w:szCs w:val="21"/>
                <w:highlight w:val="none"/>
                <w:u w:val="none"/>
                <w:lang w:val="en-US" w:eastAsia="zh-CN" w:bidi="ar"/>
              </w:rPr>
              <w:t>三档(24.1～35分)：对项目</w:t>
            </w:r>
            <w:r>
              <w:rPr>
                <w:rFonts w:hint="eastAsia" w:hAnsi="宋体" w:cs="宋体"/>
                <w:i w:val="0"/>
                <w:color w:val="auto"/>
                <w:kern w:val="0"/>
                <w:sz w:val="21"/>
                <w:szCs w:val="21"/>
                <w:highlight w:val="none"/>
                <w:u w:val="none"/>
                <w:lang w:val="en-US" w:eastAsia="zh-CN" w:bidi="ar"/>
              </w:rPr>
              <w:t>勘察</w:t>
            </w:r>
            <w:r>
              <w:rPr>
                <w:rFonts w:hint="eastAsia" w:ascii="宋体" w:hAnsi="宋体" w:eastAsia="宋体" w:cs="宋体"/>
                <w:i w:val="0"/>
                <w:color w:val="auto"/>
                <w:kern w:val="0"/>
                <w:sz w:val="21"/>
                <w:szCs w:val="21"/>
                <w:highlight w:val="none"/>
                <w:u w:val="none"/>
                <w:lang w:val="en-US" w:eastAsia="zh-CN" w:bidi="ar"/>
              </w:rPr>
              <w:t>的特点、关键技术问题的认识准确透彻，总体</w:t>
            </w:r>
            <w:r>
              <w:rPr>
                <w:rFonts w:hint="eastAsia" w:hAnsi="宋体" w:cs="宋体"/>
                <w:i w:val="0"/>
                <w:color w:val="auto"/>
                <w:kern w:val="0"/>
                <w:sz w:val="21"/>
                <w:szCs w:val="21"/>
                <w:highlight w:val="none"/>
                <w:u w:val="none"/>
                <w:lang w:val="en-US" w:eastAsia="zh-CN" w:bidi="ar"/>
              </w:rPr>
              <w:t>勘察</w:t>
            </w:r>
            <w:r>
              <w:rPr>
                <w:rFonts w:hint="eastAsia" w:ascii="宋体" w:hAnsi="宋体" w:eastAsia="宋体" w:cs="宋体"/>
                <w:i w:val="0"/>
                <w:color w:val="auto"/>
                <w:kern w:val="0"/>
                <w:sz w:val="21"/>
                <w:szCs w:val="21"/>
                <w:highlight w:val="none"/>
                <w:u w:val="none"/>
                <w:lang w:val="en-US" w:eastAsia="zh-CN" w:bidi="ar"/>
              </w:rPr>
              <w:t>思路和理念及方案表述清晰、严谨、完整，科学合理、措施先进、有效、成熟且依据</w:t>
            </w:r>
            <w:r>
              <w:rPr>
                <w:rFonts w:hint="eastAsia" w:hAnsi="宋体" w:cs="宋体"/>
                <w:i w:val="0"/>
                <w:color w:val="auto"/>
                <w:kern w:val="0"/>
                <w:sz w:val="21"/>
                <w:szCs w:val="21"/>
                <w:highlight w:val="none"/>
                <w:u w:val="none"/>
                <w:lang w:val="en-US" w:eastAsia="zh-CN" w:bidi="ar"/>
              </w:rPr>
              <w:t>勘察</w:t>
            </w:r>
            <w:r>
              <w:rPr>
                <w:rFonts w:hint="eastAsia" w:ascii="宋体" w:hAnsi="宋体" w:eastAsia="宋体" w:cs="宋体"/>
                <w:i w:val="0"/>
                <w:color w:val="auto"/>
                <w:kern w:val="0"/>
                <w:sz w:val="21"/>
                <w:szCs w:val="21"/>
                <w:highlight w:val="none"/>
                <w:u w:val="none"/>
                <w:lang w:val="en-US" w:eastAsia="zh-CN" w:bidi="ar"/>
              </w:rPr>
              <w:t>项目具体情况采取有针对性的措施，符合规范要求。</w:t>
            </w:r>
          </w:p>
        </w:tc>
      </w:tr>
      <w:tr w14:paraId="0D6424AC">
        <w:tblPrEx>
          <w:tblCellMar>
            <w:top w:w="57" w:type="dxa"/>
            <w:left w:w="57" w:type="dxa"/>
            <w:bottom w:w="57" w:type="dxa"/>
            <w:right w:w="57" w:type="dxa"/>
          </w:tblCellMar>
        </w:tblPrEx>
        <w:trPr>
          <w:trHeight w:val="4593" w:hRule="atLeast"/>
          <w:jc w:val="center"/>
        </w:trPr>
        <w:tc>
          <w:tcPr>
            <w:tcW w:w="708" w:type="dxa"/>
            <w:vMerge w:val="restart"/>
            <w:tcBorders>
              <w:top w:val="single" w:color="auto" w:sz="4" w:space="0"/>
              <w:left w:val="single" w:color="auto" w:sz="4" w:space="0"/>
              <w:right w:val="single" w:color="auto" w:sz="4" w:space="0"/>
            </w:tcBorders>
            <w:vAlign w:val="center"/>
          </w:tcPr>
          <w:p w14:paraId="4C30B4F9">
            <w:pPr>
              <w:pStyle w:val="36"/>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w:t>
            </w:r>
          </w:p>
        </w:tc>
        <w:tc>
          <w:tcPr>
            <w:tcW w:w="1207" w:type="dxa"/>
            <w:gridSpan w:val="2"/>
            <w:vMerge w:val="restart"/>
            <w:tcBorders>
              <w:top w:val="single" w:color="auto" w:sz="4" w:space="0"/>
              <w:left w:val="single" w:color="auto" w:sz="4" w:space="0"/>
              <w:bottom w:val="single" w:color="auto" w:sz="4" w:space="0"/>
              <w:right w:val="single" w:color="auto" w:sz="4" w:space="0"/>
            </w:tcBorders>
            <w:vAlign w:val="center"/>
          </w:tcPr>
          <w:p w14:paraId="38E97B82">
            <w:pPr>
              <w:pStyle w:val="36"/>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综合部分（35</w:t>
            </w:r>
            <w:r>
              <w:rPr>
                <w:rFonts w:hint="eastAsia" w:asciiTheme="minorEastAsia" w:hAnsiTheme="minorEastAsia" w:eastAsiaTheme="minorEastAsia" w:cstheme="minorEastAsia"/>
                <w:b/>
                <w:bCs/>
                <w:color w:val="auto"/>
                <w:sz w:val="21"/>
                <w:szCs w:val="21"/>
                <w:highlight w:val="none"/>
              </w:rPr>
              <w:t>分）</w:t>
            </w:r>
          </w:p>
        </w:tc>
        <w:tc>
          <w:tcPr>
            <w:tcW w:w="1474" w:type="dxa"/>
            <w:tcBorders>
              <w:top w:val="single" w:color="auto" w:sz="4" w:space="0"/>
              <w:left w:val="single" w:color="auto" w:sz="4" w:space="0"/>
              <w:right w:val="single" w:color="auto" w:sz="4" w:space="0"/>
            </w:tcBorders>
            <w:vAlign w:val="center"/>
          </w:tcPr>
          <w:p w14:paraId="3A0CA68F">
            <w:pPr>
              <w:pStyle w:val="36"/>
              <w:keepNext w:val="0"/>
              <w:keepLines w:val="0"/>
              <w:pageBreakBefore w:val="0"/>
              <w:widowControl w:val="0"/>
              <w:kinsoku/>
              <w:wordWrap/>
              <w:overflowPunct/>
              <w:topLinePunct w:val="0"/>
              <w:bidi w:val="0"/>
              <w:adjustRightInd/>
              <w:snapToGrid/>
              <w:spacing w:line="360" w:lineRule="auto"/>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信誉业绩</w:t>
            </w:r>
          </w:p>
          <w:p w14:paraId="1DF87E63">
            <w:pPr>
              <w:pStyle w:val="36"/>
              <w:keepNext w:val="0"/>
              <w:keepLines w:val="0"/>
              <w:pageBreakBefore w:val="0"/>
              <w:widowControl w:val="0"/>
              <w:kinsoku/>
              <w:wordWrap/>
              <w:overflowPunct/>
              <w:topLinePunct w:val="0"/>
              <w:bidi w:val="0"/>
              <w:adjustRightInd/>
              <w:snapToGrid/>
              <w:spacing w:line="360" w:lineRule="auto"/>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（20分）</w:t>
            </w:r>
          </w:p>
        </w:tc>
        <w:tc>
          <w:tcPr>
            <w:tcW w:w="6395" w:type="dxa"/>
            <w:tcBorders>
              <w:top w:val="single" w:color="auto" w:sz="4" w:space="0"/>
              <w:left w:val="single" w:color="auto" w:sz="4" w:space="0"/>
              <w:bottom w:val="single" w:color="auto" w:sz="4" w:space="0"/>
              <w:right w:val="single" w:color="auto" w:sz="4" w:space="0"/>
            </w:tcBorders>
            <w:vAlign w:val="center"/>
          </w:tcPr>
          <w:p w14:paraId="2DF08583">
            <w:pPr>
              <w:spacing w:after="0" w:line="40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企业自</w:t>
            </w:r>
            <w:r>
              <w:rPr>
                <w:rFonts w:hint="eastAsia" w:ascii="宋体" w:hAnsi="宋体" w:eastAsia="宋体" w:cs="宋体"/>
                <w:color w:val="auto"/>
                <w:sz w:val="21"/>
                <w:szCs w:val="21"/>
                <w:highlight w:val="none"/>
                <w:lang w:val="en-US" w:eastAsia="zh-CN"/>
              </w:rPr>
              <w:t>2021</w:t>
            </w:r>
            <w:r>
              <w:rPr>
                <w:rFonts w:hint="eastAsia" w:ascii="宋体" w:hAnsi="宋体" w:eastAsia="宋体" w:cs="宋体"/>
                <w:color w:val="auto"/>
                <w:sz w:val="21"/>
                <w:szCs w:val="21"/>
                <w:highlight w:val="none"/>
              </w:rPr>
              <w:t>年1月1日以来获得的国家级行政主管部门颁发的优秀勘察工程奖的，每项得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分；省级行政主管部门颁发的优秀勘察工程奖的，每项得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分；市级行政主管部门颁发的优秀勘察工程奖的，每项得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分。满分</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5分。（同一项目不重复计分，提供复印件，否则不予计分）</w:t>
            </w:r>
          </w:p>
          <w:p w14:paraId="433580FF">
            <w:pPr>
              <w:pStyle w:val="36"/>
              <w:keepNext w:val="0"/>
              <w:keepLines w:val="0"/>
              <w:pageBreakBefore w:val="0"/>
              <w:widowControl w:val="0"/>
              <w:kinsoku/>
              <w:wordWrap/>
              <w:overflowPunct/>
              <w:topLinePunct w:val="0"/>
              <w:autoSpaceDE/>
              <w:autoSpaceDN/>
              <w:bidi w:val="0"/>
              <w:adjustRightInd/>
              <w:snapToGrid/>
              <w:spacing w:line="340" w:lineRule="exact"/>
              <w:ind w:right="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color w:val="auto"/>
                <w:sz w:val="21"/>
                <w:szCs w:val="21"/>
                <w:highlight w:val="none"/>
              </w:rPr>
              <w:t>注：“优秀工程勘察设计奖”，是指由各级住房城乡建设主管部门或各级勘察设计协会评定的优秀工程勘察设计奖项，其他奖项均不计分。其中“国家级”，指“全国优秀工程勘察设计金（银、铜）奖或全国优秀工程勘察设计行业一、二、三等奖”。</w:t>
            </w:r>
            <w:r>
              <w:rPr>
                <w:rFonts w:hint="eastAsia" w:ascii="宋体" w:hAnsi="宋体" w:eastAsia="宋体" w:cs="宋体"/>
                <w:i w:val="0"/>
                <w:color w:val="auto"/>
                <w:kern w:val="0"/>
                <w:sz w:val="21"/>
                <w:szCs w:val="21"/>
                <w:highlight w:val="none"/>
                <w:u w:val="none"/>
                <w:lang w:val="en-US" w:eastAsia="zh-CN" w:bidi="ar"/>
              </w:rPr>
              <w:t>）</w:t>
            </w:r>
          </w:p>
        </w:tc>
      </w:tr>
      <w:tr w14:paraId="4C0476EF">
        <w:tblPrEx>
          <w:tblCellMar>
            <w:top w:w="57" w:type="dxa"/>
            <w:left w:w="57" w:type="dxa"/>
            <w:bottom w:w="57" w:type="dxa"/>
            <w:right w:w="57" w:type="dxa"/>
          </w:tblCellMar>
        </w:tblPrEx>
        <w:trPr>
          <w:trHeight w:val="2487" w:hRule="atLeast"/>
          <w:jc w:val="center"/>
        </w:trPr>
        <w:tc>
          <w:tcPr>
            <w:tcW w:w="708" w:type="dxa"/>
            <w:vMerge w:val="continue"/>
            <w:tcBorders>
              <w:left w:val="single" w:color="auto" w:sz="4" w:space="0"/>
              <w:bottom w:val="single" w:color="auto" w:sz="4" w:space="0"/>
              <w:right w:val="single" w:color="auto" w:sz="4" w:space="0"/>
            </w:tcBorders>
            <w:vAlign w:val="center"/>
          </w:tcPr>
          <w:p w14:paraId="6294F825">
            <w:pPr>
              <w:pStyle w:val="36"/>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highlight w:val="none"/>
                <w:lang w:val="en-US" w:eastAsia="zh-CN"/>
              </w:rPr>
            </w:pPr>
            <w:bookmarkStart w:id="32" w:name="OLE_LINK3" w:colFirst="2" w:colLast="3"/>
          </w:p>
        </w:tc>
        <w:tc>
          <w:tcPr>
            <w:tcW w:w="1207" w:type="dxa"/>
            <w:gridSpan w:val="2"/>
            <w:vMerge w:val="continue"/>
            <w:tcBorders>
              <w:top w:val="single" w:color="auto" w:sz="4" w:space="0"/>
              <w:left w:val="single" w:color="auto" w:sz="4" w:space="0"/>
              <w:bottom w:val="single" w:color="auto" w:sz="4" w:space="0"/>
              <w:right w:val="single" w:color="auto" w:sz="4" w:space="0"/>
            </w:tcBorders>
            <w:vAlign w:val="center"/>
          </w:tcPr>
          <w:p w14:paraId="51058337">
            <w:pPr>
              <w:pStyle w:val="36"/>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Theme="minorEastAsia" w:hAnsiTheme="minorEastAsia" w:eastAsiaTheme="minorEastAsia" w:cstheme="minorEastAsia"/>
                <w:b/>
                <w:bCs/>
                <w:color w:val="auto"/>
                <w:sz w:val="21"/>
                <w:szCs w:val="21"/>
                <w:highlight w:val="none"/>
                <w:lang w:val="en-US" w:eastAsia="zh-CN"/>
              </w:rPr>
            </w:pPr>
          </w:p>
        </w:tc>
        <w:tc>
          <w:tcPr>
            <w:tcW w:w="1474" w:type="dxa"/>
            <w:tcBorders>
              <w:top w:val="single" w:color="auto" w:sz="4" w:space="0"/>
              <w:left w:val="single" w:color="auto" w:sz="4" w:space="0"/>
              <w:bottom w:val="single" w:color="auto" w:sz="4" w:space="0"/>
              <w:right w:val="single" w:color="auto" w:sz="4" w:space="0"/>
            </w:tcBorders>
            <w:vAlign w:val="center"/>
          </w:tcPr>
          <w:p w14:paraId="3F14B6E3">
            <w:pPr>
              <w:spacing w:line="440" w:lineRule="exact"/>
              <w:ind w:firstLine="0" w:firstLineChars="0"/>
              <w:jc w:val="center"/>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服务方案</w:t>
            </w:r>
          </w:p>
          <w:p w14:paraId="7D4C9FA3">
            <w:pPr>
              <w:pStyle w:val="36"/>
              <w:keepNext w:val="0"/>
              <w:keepLines w:val="0"/>
              <w:pageBreakBefore w:val="0"/>
              <w:widowControl w:val="0"/>
              <w:kinsoku/>
              <w:wordWrap/>
              <w:overflowPunct/>
              <w:topLinePunct w:val="0"/>
              <w:bidi w:val="0"/>
              <w:adjustRightInd/>
              <w:snapToGrid/>
              <w:spacing w:line="360" w:lineRule="auto"/>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（15分）</w:t>
            </w:r>
          </w:p>
        </w:tc>
        <w:tc>
          <w:tcPr>
            <w:tcW w:w="6395" w:type="dxa"/>
            <w:tcBorders>
              <w:top w:val="single" w:color="auto" w:sz="4" w:space="0"/>
              <w:left w:val="single" w:color="auto" w:sz="4" w:space="0"/>
              <w:bottom w:val="single" w:color="auto" w:sz="4" w:space="0"/>
              <w:right w:val="single" w:color="auto" w:sz="4" w:space="0"/>
            </w:tcBorders>
            <w:vAlign w:val="center"/>
          </w:tcPr>
          <w:p w14:paraId="3CDF88A1">
            <w:pPr>
              <w:pStyle w:val="14"/>
              <w:spacing w:line="380" w:lineRule="exact"/>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评委在打分前根据投标人提供的服务承诺，集体讨论确定投标人的档次，并由评委在相应的档次内独立打分。</w:t>
            </w:r>
          </w:p>
          <w:p w14:paraId="6CD6CA38">
            <w:pPr>
              <w:pStyle w:val="14"/>
              <w:spacing w:line="380" w:lineRule="exact"/>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一档(0.1～5分)：服务承诺内容不完整，可行性不强，针对性不强，承诺施工期对出现的问题响应不够及时。</w:t>
            </w:r>
          </w:p>
          <w:p w14:paraId="4F082154">
            <w:pPr>
              <w:pStyle w:val="14"/>
              <w:spacing w:line="380" w:lineRule="exact"/>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二档（5.1～10分)：服务承诺内容比较完整，有一定的可行性，针对性一般，承诺施工期对出现的问题响应及时。</w:t>
            </w:r>
          </w:p>
          <w:p w14:paraId="231E72A5">
            <w:pPr>
              <w:pStyle w:val="36"/>
              <w:keepNext w:val="0"/>
              <w:keepLines w:val="0"/>
              <w:pageBreakBefore w:val="0"/>
              <w:widowControl w:val="0"/>
              <w:kinsoku/>
              <w:wordWrap/>
              <w:overflowPunct/>
              <w:topLinePunct w:val="0"/>
              <w:autoSpaceDE/>
              <w:autoSpaceDN/>
              <w:bidi w:val="0"/>
              <w:adjustRightInd/>
              <w:snapToGrid/>
              <w:spacing w:line="340" w:lineRule="exact"/>
              <w:ind w:right="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color w:val="auto"/>
                <w:kern w:val="0"/>
                <w:sz w:val="21"/>
                <w:szCs w:val="21"/>
                <w:highlight w:val="none"/>
                <w:u w:val="none"/>
                <w:lang w:val="en-US" w:eastAsia="zh-CN" w:bidi="ar"/>
              </w:rPr>
              <w:t>三档（10.1～15分）：服务承诺内容完整、详细，可操作性强，针对性好，有专职人员，响应及时。具有针对性，能提供基础数据坐标转换</w:t>
            </w:r>
          </w:p>
        </w:tc>
      </w:tr>
      <w:bookmarkEnd w:id="32"/>
    </w:tbl>
    <w:p w14:paraId="038A5A57">
      <w:pPr>
        <w:spacing w:line="360" w:lineRule="auto"/>
        <w:ind w:left="100" w:right="3015"/>
        <w:rPr>
          <w:rFonts w:hint="eastAsia" w:asciiTheme="minorEastAsia" w:hAnsiTheme="minorEastAsia" w:eastAsiaTheme="minorEastAsia" w:cstheme="minorEastAsia"/>
          <w:color w:val="auto"/>
          <w:sz w:val="21"/>
          <w:szCs w:val="21"/>
          <w:highlight w:val="none"/>
        </w:rPr>
      </w:pPr>
      <w:bookmarkStart w:id="33" w:name="1.评标方法"/>
      <w:bookmarkEnd w:id="33"/>
      <w:bookmarkStart w:id="34" w:name="_bookmark8"/>
      <w:bookmarkEnd w:id="34"/>
      <w:bookmarkStart w:id="35" w:name="_Toc15667"/>
      <w:r>
        <w:rPr>
          <w:rFonts w:hint="eastAsia" w:asciiTheme="minorEastAsia" w:hAnsiTheme="minorEastAsia" w:eastAsiaTheme="minorEastAsia" w:cstheme="minorEastAsia"/>
          <w:b/>
          <w:bCs/>
          <w:color w:val="auto"/>
          <w:sz w:val="21"/>
          <w:szCs w:val="21"/>
          <w:highlight w:val="none"/>
        </w:rPr>
        <w:t>注：</w:t>
      </w:r>
    </w:p>
    <w:p w14:paraId="411DAA2D">
      <w:pPr>
        <w:spacing w:line="360" w:lineRule="auto"/>
        <w:ind w:firstLine="422"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1、以上项目若有缺项、漏项的，该项为0分。</w:t>
      </w:r>
    </w:p>
    <w:p w14:paraId="71A90C11">
      <w:pPr>
        <w:spacing w:line="360" w:lineRule="auto"/>
        <w:ind w:firstLine="422"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2、以上证明材料的复印件须装订在响应文件中，否则不得分。</w:t>
      </w:r>
    </w:p>
    <w:p w14:paraId="00DA0828">
      <w:pPr>
        <w:spacing w:line="360" w:lineRule="auto"/>
        <w:ind w:firstLine="422"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3、所有磋商小组成员根据本办法独立打分，并将所有评委的计分结果算术平均后为供应商最终得分。</w:t>
      </w:r>
    </w:p>
    <w:p w14:paraId="49C3793A">
      <w:pPr>
        <w:spacing w:line="360" w:lineRule="auto"/>
        <w:ind w:left="100" w:right="3015"/>
        <w:outlineLvl w:val="1"/>
        <w:rPr>
          <w:rFonts w:hint="eastAsia" w:asciiTheme="minorEastAsia" w:hAnsiTheme="minorEastAsia" w:eastAsiaTheme="minorEastAsia" w:cstheme="minorEastAsia"/>
          <w:color w:val="auto"/>
          <w:sz w:val="21"/>
          <w:szCs w:val="21"/>
          <w:highlight w:val="none"/>
        </w:rPr>
      </w:pPr>
      <w:bookmarkStart w:id="36" w:name="_Toc12165"/>
      <w:r>
        <w:rPr>
          <w:rFonts w:hint="eastAsia" w:asciiTheme="minorEastAsia" w:hAnsiTheme="minorEastAsia" w:eastAsiaTheme="minorEastAsia" w:cstheme="minorEastAsia"/>
          <w:b/>
          <w:bCs/>
          <w:color w:val="auto"/>
          <w:sz w:val="21"/>
          <w:szCs w:val="21"/>
          <w:highlight w:val="none"/>
          <w:lang w:val="en-US" w:eastAsia="zh-CN"/>
        </w:rPr>
        <w:t>一</w:t>
      </w:r>
      <w:r>
        <w:rPr>
          <w:rFonts w:hint="eastAsia" w:asciiTheme="minorEastAsia" w:hAnsiTheme="minorEastAsia" w:eastAsiaTheme="minorEastAsia" w:cstheme="minorEastAsia"/>
          <w:b/>
          <w:bCs/>
          <w:color w:val="auto"/>
          <w:sz w:val="21"/>
          <w:szCs w:val="21"/>
          <w:highlight w:val="none"/>
        </w:rPr>
        <w:t>.评标方法</w:t>
      </w:r>
      <w:bookmarkEnd w:id="35"/>
      <w:bookmarkEnd w:id="36"/>
    </w:p>
    <w:p w14:paraId="2CC6ABAE">
      <w:pPr>
        <w:pStyle w:val="10"/>
        <w:spacing w:before="0" w:line="360" w:lineRule="auto"/>
        <w:ind w:left="100" w:right="99" w:firstLine="314"/>
        <w:jc w:val="both"/>
        <w:rPr>
          <w:rFonts w:hint="eastAsia" w:asciiTheme="minorEastAsia" w:hAnsiTheme="minorEastAsia" w:eastAsiaTheme="minorEastAsia" w:cstheme="minorEastAsia"/>
          <w:color w:val="auto"/>
          <w:spacing w:val="2"/>
          <w:highlight w:val="none"/>
          <w:lang w:eastAsia="zh-CN"/>
        </w:rPr>
      </w:pPr>
      <w:r>
        <w:rPr>
          <w:rFonts w:hint="eastAsia" w:asciiTheme="minorEastAsia" w:hAnsiTheme="minorEastAsia" w:eastAsiaTheme="minorEastAsia" w:cstheme="minorEastAsia"/>
          <w:color w:val="auto"/>
          <w:spacing w:val="2"/>
          <w:highlight w:val="none"/>
          <w:lang w:eastAsia="zh-CN"/>
        </w:rPr>
        <w:t>采用综合评分法。磋商小组对满足磋商文件实质性要求的响应文件，按照本章第 2.2 款规定的评分标准进行打分，并按得分由高到低顺序推荐1-3名成交候选人，或根据采购人授权直接确定成交人，但磋商报价低 于其成本的除外。综合评分相等时，以磋商报价低的优先；磋商报价也相等的，由采购人或其授权的磋商 小组自行确定。</w:t>
      </w:r>
    </w:p>
    <w:p w14:paraId="410343AE">
      <w:pPr>
        <w:spacing w:line="360" w:lineRule="auto"/>
        <w:ind w:left="100" w:right="3015"/>
        <w:outlineLvl w:val="1"/>
        <w:rPr>
          <w:rFonts w:hint="eastAsia" w:asciiTheme="minorEastAsia" w:hAnsiTheme="minorEastAsia" w:eastAsiaTheme="minorEastAsia" w:cstheme="minorEastAsia"/>
          <w:color w:val="auto"/>
          <w:sz w:val="21"/>
          <w:szCs w:val="21"/>
          <w:highlight w:val="none"/>
          <w:lang w:eastAsia="zh-CN"/>
        </w:rPr>
      </w:pPr>
      <w:bookmarkStart w:id="37" w:name="_bookmark9"/>
      <w:bookmarkEnd w:id="37"/>
      <w:bookmarkStart w:id="38" w:name="2.评审标准"/>
      <w:bookmarkEnd w:id="38"/>
      <w:bookmarkStart w:id="39" w:name="_Toc22775"/>
      <w:bookmarkStart w:id="40" w:name="_Toc16808"/>
      <w:r>
        <w:rPr>
          <w:rFonts w:hint="eastAsia" w:asciiTheme="minorEastAsia" w:hAnsiTheme="minorEastAsia" w:eastAsiaTheme="minorEastAsia" w:cstheme="minorEastAsia"/>
          <w:b/>
          <w:bCs/>
          <w:color w:val="auto"/>
          <w:sz w:val="21"/>
          <w:szCs w:val="21"/>
          <w:highlight w:val="none"/>
          <w:lang w:val="en-US" w:eastAsia="zh-CN"/>
        </w:rPr>
        <w:t>二</w:t>
      </w:r>
      <w:r>
        <w:rPr>
          <w:rFonts w:hint="eastAsia" w:asciiTheme="minorEastAsia" w:hAnsiTheme="minorEastAsia" w:eastAsiaTheme="minorEastAsia" w:cstheme="minorEastAsia"/>
          <w:b/>
          <w:bCs/>
          <w:color w:val="auto"/>
          <w:sz w:val="21"/>
          <w:szCs w:val="21"/>
          <w:highlight w:val="none"/>
          <w:lang w:eastAsia="zh-CN"/>
        </w:rPr>
        <w:t>.评审标准</w:t>
      </w:r>
      <w:bookmarkEnd w:id="39"/>
      <w:bookmarkEnd w:id="40"/>
    </w:p>
    <w:p w14:paraId="7FA28116">
      <w:pPr>
        <w:spacing w:line="360" w:lineRule="auto"/>
        <w:ind w:left="100" w:right="3015"/>
        <w:rPr>
          <w:rFonts w:hint="eastAsia" w:asciiTheme="minorEastAsia" w:hAnsiTheme="minorEastAsia" w:eastAsiaTheme="minorEastAsia" w:cstheme="minorEastAsia"/>
          <w:color w:val="auto"/>
          <w:sz w:val="21"/>
          <w:szCs w:val="21"/>
          <w:highlight w:val="none"/>
          <w:lang w:eastAsia="zh-CN"/>
        </w:rPr>
      </w:pPr>
      <w:bookmarkStart w:id="41" w:name="2.1初步评审标准"/>
      <w:bookmarkEnd w:id="41"/>
      <w:r>
        <w:rPr>
          <w:rFonts w:hint="eastAsia" w:asciiTheme="minorEastAsia" w:hAnsiTheme="minorEastAsia" w:eastAsiaTheme="minorEastAsia" w:cstheme="minorEastAsia"/>
          <w:b/>
          <w:bCs/>
          <w:color w:val="auto"/>
          <w:sz w:val="21"/>
          <w:szCs w:val="21"/>
          <w:highlight w:val="none"/>
          <w:lang w:eastAsia="zh-CN"/>
        </w:rPr>
        <w:t>2.1初步评审标准</w:t>
      </w:r>
    </w:p>
    <w:p w14:paraId="1FB5605F">
      <w:pPr>
        <w:pStyle w:val="10"/>
        <w:spacing w:before="0" w:line="360" w:lineRule="auto"/>
        <w:ind w:right="3015"/>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2.1.1形式评审标准：见评标办法前附表。</w:t>
      </w:r>
    </w:p>
    <w:p w14:paraId="69C7B355">
      <w:pPr>
        <w:pStyle w:val="10"/>
        <w:spacing w:before="0" w:line="360" w:lineRule="auto"/>
        <w:ind w:right="3015"/>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2.1.2资格审查标准：见评标办法前附表。</w:t>
      </w:r>
    </w:p>
    <w:p w14:paraId="24C6CC8A">
      <w:pPr>
        <w:pStyle w:val="10"/>
        <w:spacing w:before="0" w:line="360" w:lineRule="auto"/>
        <w:ind w:right="3015"/>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2.1.3响应性审查标准：见评标办法前附表。</w:t>
      </w:r>
    </w:p>
    <w:p w14:paraId="005A23D8">
      <w:pPr>
        <w:spacing w:line="360" w:lineRule="auto"/>
        <w:ind w:left="100" w:right="3015"/>
        <w:rPr>
          <w:rFonts w:hint="eastAsia" w:asciiTheme="minorEastAsia" w:hAnsiTheme="minorEastAsia" w:eastAsiaTheme="minorEastAsia" w:cstheme="minorEastAsia"/>
          <w:color w:val="auto"/>
          <w:sz w:val="21"/>
          <w:szCs w:val="21"/>
          <w:highlight w:val="none"/>
          <w:lang w:eastAsia="zh-CN"/>
        </w:rPr>
      </w:pPr>
      <w:bookmarkStart w:id="42" w:name="2.2分值构成与评分标准"/>
      <w:bookmarkEnd w:id="42"/>
      <w:r>
        <w:rPr>
          <w:rFonts w:hint="eastAsia" w:asciiTheme="minorEastAsia" w:hAnsiTheme="minorEastAsia" w:eastAsiaTheme="minorEastAsia" w:cstheme="minorEastAsia"/>
          <w:b/>
          <w:bCs/>
          <w:color w:val="auto"/>
          <w:sz w:val="21"/>
          <w:szCs w:val="21"/>
          <w:highlight w:val="none"/>
          <w:lang w:eastAsia="zh-CN"/>
        </w:rPr>
        <w:t>2.2分值构成与评分标准</w:t>
      </w:r>
    </w:p>
    <w:p w14:paraId="3251D7C8">
      <w:pPr>
        <w:pStyle w:val="10"/>
        <w:spacing w:before="0" w:line="360" w:lineRule="auto"/>
        <w:ind w:right="3015"/>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2.2.1分值构成</w:t>
      </w:r>
    </w:p>
    <w:p w14:paraId="6D1A3D56">
      <w:pPr>
        <w:pStyle w:val="10"/>
        <w:spacing w:before="0" w:line="360" w:lineRule="auto"/>
        <w:ind w:left="344" w:right="3015"/>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（1）磋商报价：见评标办法前附表；</w:t>
      </w:r>
    </w:p>
    <w:p w14:paraId="11C932AA">
      <w:pPr>
        <w:pStyle w:val="10"/>
        <w:spacing w:before="0" w:line="360" w:lineRule="auto"/>
        <w:ind w:left="344" w:right="3015"/>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 xml:space="preserve">（2）技术部分：见评标办法前附表。 </w:t>
      </w:r>
    </w:p>
    <w:p w14:paraId="05F2080C">
      <w:pPr>
        <w:pStyle w:val="10"/>
        <w:spacing w:before="0" w:line="360" w:lineRule="auto"/>
        <w:ind w:left="344" w:right="3015" w:firstLine="210" w:firstLineChars="1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2.2.2评分标准</w:t>
      </w:r>
    </w:p>
    <w:p w14:paraId="513C7CA9">
      <w:pPr>
        <w:pStyle w:val="10"/>
        <w:spacing w:before="0" w:line="360" w:lineRule="auto"/>
        <w:ind w:left="414" w:right="3015"/>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（1）磋商报价：见评标办法前附表；</w:t>
      </w:r>
    </w:p>
    <w:p w14:paraId="5DAB31AE">
      <w:pPr>
        <w:pStyle w:val="10"/>
        <w:spacing w:before="0" w:line="360" w:lineRule="auto"/>
        <w:ind w:left="414" w:right="3015"/>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（2）技术部分：见评标办法前附表。</w:t>
      </w:r>
    </w:p>
    <w:p w14:paraId="1AC8D064">
      <w:pPr>
        <w:spacing w:line="360" w:lineRule="auto"/>
        <w:ind w:left="100" w:right="3015"/>
        <w:outlineLvl w:val="1"/>
        <w:rPr>
          <w:rFonts w:hint="eastAsia" w:asciiTheme="minorEastAsia" w:hAnsiTheme="minorEastAsia" w:eastAsiaTheme="minorEastAsia" w:cstheme="minorEastAsia"/>
          <w:b/>
          <w:bCs/>
          <w:color w:val="auto"/>
          <w:sz w:val="21"/>
          <w:szCs w:val="21"/>
          <w:highlight w:val="none"/>
          <w:lang w:eastAsia="zh-CN"/>
        </w:rPr>
      </w:pPr>
      <w:bookmarkStart w:id="43" w:name="3.评标程序"/>
      <w:bookmarkEnd w:id="43"/>
      <w:bookmarkStart w:id="44" w:name="_bookmark10"/>
      <w:bookmarkEnd w:id="44"/>
      <w:bookmarkStart w:id="45" w:name="_Toc15383"/>
      <w:bookmarkStart w:id="46" w:name="_Toc30029"/>
      <w:r>
        <w:rPr>
          <w:rFonts w:hint="eastAsia" w:asciiTheme="minorEastAsia" w:hAnsiTheme="minorEastAsia" w:eastAsiaTheme="minorEastAsia" w:cstheme="minorEastAsia"/>
          <w:b/>
          <w:bCs/>
          <w:color w:val="auto"/>
          <w:sz w:val="21"/>
          <w:szCs w:val="21"/>
          <w:highlight w:val="none"/>
          <w:lang w:val="en-US" w:eastAsia="zh-CN"/>
        </w:rPr>
        <w:t>三</w:t>
      </w:r>
      <w:r>
        <w:rPr>
          <w:rFonts w:hint="eastAsia" w:asciiTheme="minorEastAsia" w:hAnsiTheme="minorEastAsia" w:eastAsiaTheme="minorEastAsia" w:cstheme="minorEastAsia"/>
          <w:b/>
          <w:bCs/>
          <w:color w:val="auto"/>
          <w:sz w:val="21"/>
          <w:szCs w:val="21"/>
          <w:highlight w:val="none"/>
          <w:lang w:eastAsia="zh-CN"/>
        </w:rPr>
        <w:t>.评标程序</w:t>
      </w:r>
      <w:bookmarkEnd w:id="45"/>
      <w:bookmarkEnd w:id="46"/>
    </w:p>
    <w:p w14:paraId="21095436">
      <w:pPr>
        <w:pStyle w:val="14"/>
        <w:spacing w:line="360" w:lineRule="exact"/>
        <w:ind w:firstLine="420"/>
        <w:rPr>
          <w:rFonts w:hint="eastAsia" w:asciiTheme="minorEastAsia" w:hAnsiTheme="minorEastAsia" w:eastAsiaTheme="minorEastAsia" w:cstheme="minorEastAsia"/>
          <w:b/>
          <w:bCs/>
          <w:color w:val="auto"/>
          <w:sz w:val="21"/>
          <w:highlight w:val="none"/>
        </w:rPr>
      </w:pPr>
      <w:bookmarkStart w:id="47" w:name="3.1初步评审"/>
      <w:bookmarkEnd w:id="47"/>
      <w:r>
        <w:rPr>
          <w:rFonts w:hint="eastAsia" w:asciiTheme="minorEastAsia" w:hAnsiTheme="minorEastAsia" w:eastAsiaTheme="minorEastAsia" w:cstheme="minorEastAsia"/>
          <w:b/>
          <w:bCs/>
          <w:color w:val="auto"/>
          <w:sz w:val="21"/>
          <w:highlight w:val="none"/>
          <w:lang w:val="en-US" w:eastAsia="zh-CN"/>
        </w:rPr>
        <w:t>3</w:t>
      </w:r>
      <w:r>
        <w:rPr>
          <w:rFonts w:hint="eastAsia" w:asciiTheme="minorEastAsia" w:hAnsiTheme="minorEastAsia" w:eastAsiaTheme="minorEastAsia" w:cstheme="minorEastAsia"/>
          <w:b/>
          <w:bCs/>
          <w:color w:val="auto"/>
          <w:sz w:val="21"/>
          <w:highlight w:val="none"/>
        </w:rPr>
        <w:t>.1组建“磋商小组”</w:t>
      </w:r>
    </w:p>
    <w:p w14:paraId="28F5D969">
      <w:pPr>
        <w:spacing w:line="360" w:lineRule="exact"/>
        <w:ind w:firstLine="440" w:firstLineChars="20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color w:val="auto"/>
          <w:szCs w:val="21"/>
          <w:highlight w:val="none"/>
        </w:rPr>
        <w:t>采购代理机构根据磋商采购项目的特点依法组建“磋商小组”,“磋商小组”由采购单位代表和有关专家共三人或三人以上的单数组成，其中评审专家的人数不得少于“磋商小组”成员总数的三分之二。在整个磋商采购活动过程中，“磋商小组”将负责对全部响应文件进行审查、磋商及评审工作。</w:t>
      </w:r>
    </w:p>
    <w:p w14:paraId="0E268E5A">
      <w:pPr>
        <w:pStyle w:val="14"/>
        <w:spacing w:line="360" w:lineRule="exact"/>
        <w:ind w:firstLine="420"/>
        <w:rPr>
          <w:rFonts w:hint="eastAsia" w:asciiTheme="minorEastAsia" w:hAnsiTheme="minorEastAsia" w:eastAsiaTheme="minorEastAsia" w:cstheme="minorEastAsia"/>
          <w:b/>
          <w:bCs/>
          <w:color w:val="auto"/>
          <w:sz w:val="21"/>
          <w:highlight w:val="none"/>
        </w:rPr>
      </w:pPr>
      <w:r>
        <w:rPr>
          <w:rFonts w:hint="eastAsia" w:asciiTheme="minorEastAsia" w:hAnsiTheme="minorEastAsia" w:eastAsiaTheme="minorEastAsia" w:cstheme="minorEastAsia"/>
          <w:b/>
          <w:bCs/>
          <w:color w:val="auto"/>
          <w:sz w:val="21"/>
          <w:highlight w:val="none"/>
          <w:lang w:val="en-US" w:eastAsia="zh-CN"/>
        </w:rPr>
        <w:t>3</w:t>
      </w:r>
      <w:r>
        <w:rPr>
          <w:rFonts w:hint="eastAsia" w:asciiTheme="minorEastAsia" w:hAnsiTheme="minorEastAsia" w:eastAsiaTheme="minorEastAsia" w:cstheme="minorEastAsia"/>
          <w:b/>
          <w:bCs/>
          <w:color w:val="auto"/>
          <w:sz w:val="21"/>
          <w:highlight w:val="none"/>
        </w:rPr>
        <w:t>.2资格审查</w:t>
      </w:r>
    </w:p>
    <w:p w14:paraId="6D37AC10">
      <w:pPr>
        <w:spacing w:line="360" w:lineRule="exact"/>
        <w:ind w:firstLine="44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color w:val="auto"/>
          <w:szCs w:val="21"/>
          <w:highlight w:val="none"/>
        </w:rPr>
        <w:t>磋商小组依法对供应商的资格进行审查</w:t>
      </w:r>
      <w:r>
        <w:rPr>
          <w:rFonts w:hint="eastAsia" w:asciiTheme="minorEastAsia" w:hAnsiTheme="minorEastAsia" w:eastAsiaTheme="minorEastAsia" w:cstheme="minorEastAsia"/>
          <w:color w:val="auto"/>
          <w:spacing w:val="-2"/>
          <w:szCs w:val="21"/>
          <w:highlight w:val="none"/>
        </w:rPr>
        <w:t>。</w:t>
      </w:r>
      <w:r>
        <w:rPr>
          <w:rFonts w:hint="eastAsia" w:asciiTheme="minorEastAsia" w:hAnsiTheme="minorEastAsia" w:eastAsiaTheme="minorEastAsia" w:cstheme="minorEastAsia"/>
          <w:b/>
          <w:bCs/>
          <w:color w:val="auto"/>
          <w:szCs w:val="21"/>
          <w:highlight w:val="none"/>
        </w:rPr>
        <w:t>在资格审查时，如发现下列情形之一的，响应文件将被视为无效：</w:t>
      </w:r>
    </w:p>
    <w:p w14:paraId="15003977">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（1）未按照竞争性磋商文件的规定提交投标保证金的</w:t>
      </w:r>
      <w:r>
        <w:rPr>
          <w:rFonts w:hint="eastAsia" w:asciiTheme="minorEastAsia" w:hAnsiTheme="minorEastAsia" w:eastAsiaTheme="minorEastAsia" w:cstheme="minorEastAsia"/>
          <w:bCs/>
          <w:color w:val="auto"/>
          <w:szCs w:val="21"/>
          <w:highlight w:val="none"/>
          <w:lang w:eastAsia="zh-CN"/>
        </w:rPr>
        <w:t>（如有）</w:t>
      </w:r>
      <w:r>
        <w:rPr>
          <w:rFonts w:hint="eastAsia" w:asciiTheme="minorEastAsia" w:hAnsiTheme="minorEastAsia" w:eastAsiaTheme="minorEastAsia" w:cstheme="minorEastAsia"/>
          <w:bCs/>
          <w:color w:val="auto"/>
          <w:szCs w:val="21"/>
          <w:highlight w:val="none"/>
        </w:rPr>
        <w:t>；</w:t>
      </w:r>
    </w:p>
    <w:p w14:paraId="65A8537E">
      <w:pPr>
        <w:widowControl/>
        <w:spacing w:line="360" w:lineRule="exact"/>
        <w:jc w:val="left"/>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　　（2）响应文件未按竞争性磋商文件要求签署、盖章的；</w:t>
      </w:r>
    </w:p>
    <w:p w14:paraId="597C7FCD">
      <w:pPr>
        <w:widowControl/>
        <w:spacing w:line="360" w:lineRule="exact"/>
        <w:ind w:firstLine="408"/>
        <w:jc w:val="left"/>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（3）不具备竞争性磋商文件中规定的资格要求的；（注：其中信用查询由采购代理机构于资格审查时</w:t>
      </w:r>
      <w:r>
        <w:rPr>
          <w:rFonts w:hint="eastAsia" w:asciiTheme="minorEastAsia" w:hAnsiTheme="minorEastAsia" w:eastAsiaTheme="minorEastAsia" w:cstheme="minorEastAsia"/>
          <w:color w:val="auto"/>
          <w:szCs w:val="21"/>
          <w:highlight w:val="none"/>
        </w:rPr>
        <w:t>在“信用中国”网站和“中国政府采购网”</w:t>
      </w:r>
      <w:r>
        <w:rPr>
          <w:rFonts w:hint="eastAsia" w:asciiTheme="minorEastAsia" w:hAnsiTheme="minorEastAsia" w:eastAsiaTheme="minorEastAsia" w:cstheme="minorEastAsia"/>
          <w:bCs/>
          <w:color w:val="auto"/>
          <w:szCs w:val="21"/>
          <w:highlight w:val="none"/>
        </w:rPr>
        <w:t>对供应商进行信用查询，并将信用查询截图交由磋商小组进行评审，联合体成员存在不良信用记录的视同联合体存在不良信用记录。）</w:t>
      </w:r>
    </w:p>
    <w:p w14:paraId="040F551A">
      <w:pPr>
        <w:spacing w:line="360" w:lineRule="exact"/>
        <w:ind w:firstLine="440" w:firstLineChars="20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Cs/>
          <w:color w:val="auto"/>
          <w:szCs w:val="21"/>
          <w:highlight w:val="none"/>
        </w:rPr>
        <w:t>（4）未提供竞争性磋商文件中“10.1 竞争性磋商响应文件的组成”要求必须提供的资料的；</w:t>
      </w:r>
    </w:p>
    <w:p w14:paraId="46BAA204">
      <w:pPr>
        <w:widowControl/>
        <w:spacing w:line="360" w:lineRule="exact"/>
        <w:ind w:firstLine="408"/>
        <w:jc w:val="left"/>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（5）报价超过竞争性磋商文件中规定的预算金额或者最高限价的；</w:t>
      </w:r>
    </w:p>
    <w:p w14:paraId="75B30455">
      <w:pPr>
        <w:spacing w:line="360" w:lineRule="exact"/>
        <w:ind w:firstLine="431" w:firstLineChars="196"/>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（6）投标代表人未能出具身份证明或与法定代表人授权委托人身份不符的； </w:t>
      </w:r>
    </w:p>
    <w:p w14:paraId="654B41A5">
      <w:pPr>
        <w:widowControl/>
        <w:spacing w:line="360" w:lineRule="exact"/>
        <w:ind w:firstLine="405"/>
        <w:jc w:val="left"/>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（7）法律、法规和竞争性磋商文件规定的其他无效情形。</w:t>
      </w:r>
    </w:p>
    <w:p w14:paraId="67C9F963">
      <w:pPr>
        <w:pStyle w:val="14"/>
        <w:spacing w:line="360" w:lineRule="exact"/>
        <w:ind w:firstLine="420"/>
        <w:rPr>
          <w:rFonts w:hint="eastAsia" w:asciiTheme="minorEastAsia" w:hAnsiTheme="minorEastAsia" w:eastAsiaTheme="minorEastAsia" w:cstheme="minorEastAsia"/>
          <w:b/>
          <w:bCs w:val="0"/>
          <w:color w:val="auto"/>
          <w:sz w:val="21"/>
          <w:highlight w:val="none"/>
        </w:rPr>
      </w:pPr>
      <w:r>
        <w:rPr>
          <w:rFonts w:hint="eastAsia" w:asciiTheme="minorEastAsia" w:hAnsiTheme="minorEastAsia" w:eastAsiaTheme="minorEastAsia" w:cstheme="minorEastAsia"/>
          <w:b/>
          <w:bCs w:val="0"/>
          <w:color w:val="auto"/>
          <w:sz w:val="21"/>
          <w:highlight w:val="none"/>
          <w:lang w:val="en-US" w:eastAsia="zh-CN"/>
        </w:rPr>
        <w:t>3</w:t>
      </w:r>
      <w:r>
        <w:rPr>
          <w:rFonts w:hint="eastAsia" w:asciiTheme="minorEastAsia" w:hAnsiTheme="minorEastAsia" w:eastAsiaTheme="minorEastAsia" w:cstheme="minorEastAsia"/>
          <w:b/>
          <w:bCs w:val="0"/>
          <w:color w:val="auto"/>
          <w:sz w:val="21"/>
          <w:highlight w:val="none"/>
        </w:rPr>
        <w:t>.3符合性审查</w:t>
      </w:r>
    </w:p>
    <w:p w14:paraId="02155E1E">
      <w:pPr>
        <w:widowControl/>
        <w:spacing w:line="360" w:lineRule="exact"/>
        <w:ind w:firstLine="440" w:firstLineChars="200"/>
        <w:jc w:val="left"/>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color w:val="auto"/>
          <w:szCs w:val="21"/>
          <w:highlight w:val="none"/>
        </w:rPr>
        <w:t>磋商小组依法对供应商的符合性进行审查</w:t>
      </w:r>
      <w:r>
        <w:rPr>
          <w:rFonts w:hint="eastAsia" w:asciiTheme="minorEastAsia" w:hAnsiTheme="minorEastAsia" w:eastAsiaTheme="minorEastAsia" w:cstheme="minorEastAsia"/>
          <w:color w:val="auto"/>
          <w:spacing w:val="-2"/>
          <w:szCs w:val="21"/>
          <w:highlight w:val="none"/>
        </w:rPr>
        <w:t>。</w:t>
      </w:r>
      <w:r>
        <w:rPr>
          <w:rFonts w:hint="eastAsia" w:asciiTheme="minorEastAsia" w:hAnsiTheme="minorEastAsia" w:eastAsiaTheme="minorEastAsia" w:cstheme="minorEastAsia"/>
          <w:b/>
          <w:bCs/>
          <w:color w:val="auto"/>
          <w:szCs w:val="21"/>
          <w:highlight w:val="none"/>
        </w:rPr>
        <w:t>在符合性审查时，如发现下列情形之一的，响应文件将被视为无效：</w:t>
      </w:r>
    </w:p>
    <w:p w14:paraId="4F929BA6">
      <w:pPr>
        <w:spacing w:line="360" w:lineRule="exact"/>
        <w:ind w:firstLine="431" w:firstLineChars="196"/>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（1）响应文件的实质性内容未使用中文表述、意思表述不明确、前后矛盾或者使用计量单位不符合竞争性磋商文件要求的（经磋商小组认定并允许其当场更正的笔误除外）</w:t>
      </w:r>
    </w:p>
    <w:p w14:paraId="78A40B14">
      <w:pPr>
        <w:spacing w:line="360" w:lineRule="exact"/>
        <w:ind w:firstLine="431" w:firstLineChars="196"/>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（2）投标有效期、服务期、服务承诺等商务条款不能满足竞争性磋商文件要求的；</w:t>
      </w:r>
    </w:p>
    <w:p w14:paraId="60DAB6D6">
      <w:pPr>
        <w:spacing w:line="360" w:lineRule="exact"/>
        <w:ind w:firstLine="431" w:firstLineChars="196"/>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（3）未实质性响应竞争性磋商文件要求或者响应文件有招标方不能接受的附加条件的。</w:t>
      </w:r>
    </w:p>
    <w:p w14:paraId="150C014C">
      <w:pPr>
        <w:spacing w:line="360" w:lineRule="exact"/>
        <w:ind w:firstLine="431" w:firstLineChars="196"/>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（4）未提供竞争性磋商文件中“10.1 竞争性磋商响应文件的组成”要求必须提供的资料的；</w:t>
      </w:r>
    </w:p>
    <w:p w14:paraId="77043943">
      <w:pPr>
        <w:spacing w:line="360" w:lineRule="exact"/>
        <w:ind w:firstLine="431" w:firstLineChars="196"/>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（5）响应文件标明的响应或偏离与事实不符或虚假投标的；</w:t>
      </w:r>
    </w:p>
    <w:p w14:paraId="0A25E3FF">
      <w:pPr>
        <w:spacing w:line="360" w:lineRule="exact"/>
        <w:ind w:firstLine="431" w:firstLineChars="196"/>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（6）明显不符合</w:t>
      </w:r>
      <w:r>
        <w:rPr>
          <w:rFonts w:hint="eastAsia" w:asciiTheme="minorEastAsia" w:hAnsiTheme="minorEastAsia" w:eastAsiaTheme="minorEastAsia" w:cstheme="minorEastAsia"/>
          <w:bCs/>
          <w:color w:val="auto"/>
          <w:szCs w:val="21"/>
          <w:highlight w:val="none"/>
        </w:rPr>
        <w:t>竞争性磋商文件</w:t>
      </w:r>
      <w:r>
        <w:rPr>
          <w:rFonts w:hint="eastAsia" w:asciiTheme="minorEastAsia" w:hAnsiTheme="minorEastAsia" w:eastAsiaTheme="minorEastAsia" w:cstheme="minorEastAsia"/>
          <w:color w:val="auto"/>
          <w:szCs w:val="21"/>
          <w:highlight w:val="none"/>
        </w:rPr>
        <w:t>要求的质量标准、采购需求，或者与采购文件中标“▲”的技术指标、服务需求发生实质性偏离的；</w:t>
      </w:r>
    </w:p>
    <w:p w14:paraId="016F74CF">
      <w:pPr>
        <w:spacing w:line="360" w:lineRule="exact"/>
        <w:ind w:firstLine="431" w:firstLineChars="196"/>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（7）投标技术方案不明确，存在一个或一个以上备选（替代）投标方案的。</w:t>
      </w:r>
    </w:p>
    <w:p w14:paraId="2FC0FBCB">
      <w:pPr>
        <w:spacing w:line="360" w:lineRule="exact"/>
        <w:ind w:firstLine="431" w:firstLineChars="196"/>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（8）</w:t>
      </w:r>
      <w:r>
        <w:rPr>
          <w:rFonts w:hint="eastAsia" w:asciiTheme="minorEastAsia" w:hAnsiTheme="minorEastAsia" w:eastAsiaTheme="minorEastAsia" w:cstheme="minorEastAsia"/>
          <w:bCs/>
          <w:color w:val="auto"/>
          <w:szCs w:val="21"/>
          <w:highlight w:val="none"/>
        </w:rPr>
        <w:t>未提供竞争性磋商文件中“10.1 竞争性磋商响应文件的组成”要求必须提供的资料的；</w:t>
      </w:r>
    </w:p>
    <w:p w14:paraId="155AD6E5">
      <w:pPr>
        <w:spacing w:line="360" w:lineRule="exact"/>
        <w:ind w:firstLine="440" w:firstLineChars="20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color w:val="auto"/>
          <w:szCs w:val="21"/>
          <w:highlight w:val="none"/>
        </w:rPr>
        <w:t>（9）未采用人民币报价或者未按照竞争性磋商文件标明的币种报价的；</w:t>
      </w:r>
    </w:p>
    <w:p w14:paraId="1D46F06A">
      <w:pPr>
        <w:spacing w:line="360" w:lineRule="exact"/>
        <w:ind w:firstLine="431" w:firstLineChars="196"/>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（10）投标报价具有选择性，或者开标价格与响应文件承诺的优惠（折扣）价格不一致的；</w:t>
      </w:r>
    </w:p>
    <w:p w14:paraId="2D57A7F6">
      <w:pPr>
        <w:spacing w:line="360" w:lineRule="exact"/>
        <w:ind w:firstLine="431" w:firstLineChars="196"/>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（11）法律、法规和</w:t>
      </w:r>
      <w:r>
        <w:rPr>
          <w:rFonts w:hint="eastAsia" w:asciiTheme="minorEastAsia" w:hAnsiTheme="minorEastAsia" w:eastAsiaTheme="minorEastAsia" w:cstheme="minorEastAsia"/>
          <w:color w:val="auto"/>
          <w:highlight w:val="none"/>
        </w:rPr>
        <w:t>竞争性磋商文件</w:t>
      </w:r>
      <w:r>
        <w:rPr>
          <w:rFonts w:hint="eastAsia" w:asciiTheme="minorEastAsia" w:hAnsiTheme="minorEastAsia" w:eastAsiaTheme="minorEastAsia" w:cstheme="minorEastAsia"/>
          <w:color w:val="auto"/>
          <w:szCs w:val="21"/>
          <w:highlight w:val="none"/>
        </w:rPr>
        <w:t>规定的其他无效情形。</w:t>
      </w:r>
    </w:p>
    <w:p w14:paraId="131F5D7E">
      <w:pPr>
        <w:pStyle w:val="14"/>
        <w:spacing w:line="360" w:lineRule="exact"/>
        <w:ind w:firstLine="420"/>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kern w:val="2"/>
          <w:sz w:val="21"/>
          <w:szCs w:val="24"/>
          <w:highlight w:val="none"/>
          <w:lang w:val="en-US" w:eastAsia="zh-CN"/>
        </w:rPr>
        <w:t>3</w:t>
      </w:r>
      <w:r>
        <w:rPr>
          <w:rFonts w:hint="eastAsia" w:asciiTheme="minorEastAsia" w:hAnsiTheme="minorEastAsia" w:eastAsiaTheme="minorEastAsia" w:cstheme="minorEastAsia"/>
          <w:b/>
          <w:bCs/>
          <w:color w:val="auto"/>
          <w:kern w:val="2"/>
          <w:sz w:val="21"/>
          <w:szCs w:val="24"/>
          <w:highlight w:val="none"/>
        </w:rPr>
        <w:t>.4</w:t>
      </w:r>
      <w:r>
        <w:rPr>
          <w:rFonts w:hint="eastAsia" w:asciiTheme="minorEastAsia" w:hAnsiTheme="minorEastAsia" w:eastAsiaTheme="minorEastAsia" w:cstheme="minorEastAsia"/>
          <w:b/>
          <w:bCs/>
          <w:color w:val="auto"/>
          <w:sz w:val="21"/>
          <w:highlight w:val="none"/>
        </w:rPr>
        <w:t>特别</w:t>
      </w:r>
      <w:r>
        <w:rPr>
          <w:rFonts w:hint="eastAsia" w:asciiTheme="minorEastAsia" w:hAnsiTheme="minorEastAsia" w:eastAsiaTheme="minorEastAsia" w:cstheme="minorEastAsia"/>
          <w:b/>
          <w:bCs/>
          <w:color w:val="auto"/>
          <w:kern w:val="2"/>
          <w:sz w:val="21"/>
          <w:szCs w:val="24"/>
          <w:highlight w:val="none"/>
        </w:rPr>
        <w:t>说明</w:t>
      </w:r>
    </w:p>
    <w:p w14:paraId="656B99D2">
      <w:pPr>
        <w:pStyle w:val="14"/>
        <w:spacing w:line="360" w:lineRule="exact"/>
        <w:ind w:firstLine="411" w:firstLineChars="196"/>
        <w:outlineLvl w:val="1"/>
        <w:rPr>
          <w:rFonts w:hint="eastAsia" w:asciiTheme="minorEastAsia" w:hAnsiTheme="minorEastAsia" w:eastAsiaTheme="minorEastAsia" w:cstheme="minorEastAsia"/>
          <w:color w:val="000000" w:themeColor="text1"/>
          <w:sz w:val="21"/>
          <w:highlight w:val="none"/>
          <w14:textFill>
            <w14:solidFill>
              <w14:schemeClr w14:val="tx1"/>
            </w14:solidFill>
          </w14:textFill>
        </w:rPr>
      </w:pPr>
      <w:r>
        <w:rPr>
          <w:rFonts w:hint="eastAsia" w:asciiTheme="minorEastAsia" w:hAnsiTheme="minorEastAsia" w:eastAsiaTheme="minorEastAsia" w:cstheme="minorEastAsia"/>
          <w:color w:val="auto"/>
          <w:sz w:val="21"/>
          <w:highlight w:val="none"/>
          <w:lang w:val="en-US" w:eastAsia="zh-CN"/>
        </w:rPr>
        <w:t>3</w:t>
      </w:r>
      <w:r>
        <w:rPr>
          <w:rFonts w:hint="eastAsia" w:asciiTheme="minorEastAsia" w:hAnsiTheme="minorEastAsia" w:eastAsiaTheme="minorEastAsia" w:cstheme="minorEastAsia"/>
          <w:color w:val="auto"/>
          <w:sz w:val="21"/>
          <w:highlight w:val="none"/>
        </w:rPr>
        <w:t>.4.1出现下列情形之一的，在评审过程中，按一家供应商计算，评审后得分最高的同品牌供应商获得成交人推荐资格；评审得分相同的，以报价最低的供应商获得成交人推荐资格；评审得分及投标报价相同的，以技术得分最高的供应商获得成交人推荐资格；其他同品牌供应商不作为成交候选人：</w:t>
      </w:r>
    </w:p>
    <w:p w14:paraId="5E7BE6D9">
      <w:pPr>
        <w:pStyle w:val="14"/>
        <w:spacing w:line="360" w:lineRule="exact"/>
        <w:ind w:firstLine="411" w:firstLineChars="196"/>
        <w:outlineLvl w:val="1"/>
        <w:rPr>
          <w:rFonts w:hint="eastAsia" w:asciiTheme="minorEastAsia" w:hAnsiTheme="minorEastAsia" w:eastAsiaTheme="minorEastAsia" w:cstheme="minorEastAsia"/>
          <w:color w:val="000000" w:themeColor="text1"/>
          <w:sz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highlight w:val="none"/>
          <w14:textFill>
            <w14:solidFill>
              <w14:schemeClr w14:val="tx1"/>
            </w14:solidFill>
          </w14:textFill>
        </w:rPr>
        <w:t>（1）提供相同品牌产品且通过资格审查、符合性审查的不同供应商参加单一产品的同一合同项下的采购活动的。</w:t>
      </w:r>
    </w:p>
    <w:p w14:paraId="5EFF6620">
      <w:pPr>
        <w:pStyle w:val="14"/>
        <w:spacing w:line="360" w:lineRule="exact"/>
        <w:ind w:firstLine="411" w:firstLineChars="196"/>
        <w:outlineLvl w:val="1"/>
        <w:rPr>
          <w:rFonts w:hint="eastAsia" w:asciiTheme="minorEastAsia" w:hAnsiTheme="minorEastAsia" w:eastAsiaTheme="minorEastAsia" w:cstheme="minorEastAsia"/>
          <w:color w:val="000000" w:themeColor="text1"/>
          <w:sz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highlight w:val="none"/>
          <w14:textFill>
            <w14:solidFill>
              <w14:schemeClr w14:val="tx1"/>
            </w14:solidFill>
          </w14:textFill>
        </w:rPr>
        <w:t>（2）非单一产品采购项目中，多家供应商提供的核心产品品牌相同的，视为提供相同品牌产品。核心产品的名称在磋商文件中载明。</w:t>
      </w:r>
    </w:p>
    <w:p w14:paraId="66FEDC17">
      <w:pPr>
        <w:pStyle w:val="14"/>
        <w:spacing w:line="360" w:lineRule="exact"/>
        <w:ind w:firstLine="411" w:firstLineChars="196"/>
        <w:outlineLvl w:val="1"/>
        <w:rPr>
          <w:rFonts w:hint="eastAsia" w:asciiTheme="minorEastAsia" w:hAnsiTheme="minorEastAsia" w:eastAsiaTheme="minorEastAsia" w:cstheme="minorEastAsia"/>
          <w:bCs/>
          <w:color w:val="000000" w:themeColor="text1"/>
          <w:sz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highlight w:val="none"/>
          <w:lang w:val="en-US" w:eastAsia="zh-CN"/>
          <w14:textFill>
            <w14:solidFill>
              <w14:schemeClr w14:val="tx1"/>
            </w14:solidFill>
          </w14:textFill>
        </w:rPr>
        <w:t>3</w:t>
      </w:r>
      <w:r>
        <w:rPr>
          <w:rFonts w:hint="eastAsia" w:asciiTheme="minorEastAsia" w:hAnsiTheme="minorEastAsia" w:eastAsiaTheme="minorEastAsia" w:cstheme="minorEastAsia"/>
          <w:bCs/>
          <w:color w:val="000000" w:themeColor="text1"/>
          <w:sz w:val="21"/>
          <w:highlight w:val="none"/>
          <w14:textFill>
            <w14:solidFill>
              <w14:schemeClr w14:val="tx1"/>
            </w14:solidFill>
          </w14:textFill>
        </w:rPr>
        <w:t>.4.2供应商投标所使用的资格、信誉、荣誉、业绩与企业认证必须为本法人所拥有。供应商投标所使用的采购项目实施人员必须为本法人员工（或必须为本法人或控股公司正式员工）。</w:t>
      </w:r>
    </w:p>
    <w:p w14:paraId="6E7570F2">
      <w:pPr>
        <w:pStyle w:val="14"/>
        <w:spacing w:line="360" w:lineRule="exact"/>
        <w:ind w:firstLine="411" w:firstLineChars="196"/>
        <w:outlineLvl w:val="1"/>
        <w:rPr>
          <w:rFonts w:hint="eastAsia" w:asciiTheme="minorEastAsia" w:hAnsiTheme="minorEastAsia" w:eastAsiaTheme="minorEastAsia" w:cstheme="minorEastAsia"/>
          <w:bCs/>
          <w:color w:val="000000" w:themeColor="text1"/>
          <w:sz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highlight w:val="none"/>
          <w:lang w:val="en-US" w:eastAsia="zh-CN"/>
          <w14:textFill>
            <w14:solidFill>
              <w14:schemeClr w14:val="tx1"/>
            </w14:solidFill>
          </w14:textFill>
        </w:rPr>
        <w:t>3</w:t>
      </w:r>
      <w:r>
        <w:rPr>
          <w:rFonts w:hint="eastAsia" w:asciiTheme="minorEastAsia" w:hAnsiTheme="minorEastAsia" w:eastAsiaTheme="minorEastAsia" w:cstheme="minorEastAsia"/>
          <w:bCs/>
          <w:color w:val="000000" w:themeColor="text1"/>
          <w:sz w:val="21"/>
          <w:highlight w:val="none"/>
          <w14:textFill>
            <w14:solidFill>
              <w14:schemeClr w14:val="tx1"/>
            </w14:solidFill>
          </w14:textFill>
        </w:rPr>
        <w:t>.4.3供应商应仔细阅读竞争性磋商文件的所有内容，按照竞争性磋商文件的要求提交响应文件，并对所提供的全部资料的真实性承担法律责任。</w:t>
      </w:r>
    </w:p>
    <w:p w14:paraId="163827FE">
      <w:pPr>
        <w:pStyle w:val="14"/>
        <w:spacing w:line="360" w:lineRule="exact"/>
        <w:ind w:firstLine="411" w:firstLineChars="196"/>
        <w:outlineLvl w:val="1"/>
        <w:rPr>
          <w:rFonts w:hint="eastAsia" w:asciiTheme="minorEastAsia" w:hAnsiTheme="minorEastAsia" w:eastAsiaTheme="minorEastAsia" w:cstheme="minorEastAsia"/>
          <w:bCs/>
          <w:color w:val="000000" w:themeColor="text1"/>
          <w:sz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highlight w:val="none"/>
          <w:lang w:val="en-US" w:eastAsia="zh-CN"/>
          <w14:textFill>
            <w14:solidFill>
              <w14:schemeClr w14:val="tx1"/>
            </w14:solidFill>
          </w14:textFill>
        </w:rPr>
        <w:t>3</w:t>
      </w:r>
      <w:r>
        <w:rPr>
          <w:rFonts w:hint="eastAsia" w:asciiTheme="minorEastAsia" w:hAnsiTheme="minorEastAsia" w:eastAsiaTheme="minorEastAsia" w:cstheme="minorEastAsia"/>
          <w:bCs/>
          <w:color w:val="000000" w:themeColor="text1"/>
          <w:sz w:val="21"/>
          <w:highlight w:val="none"/>
          <w14:textFill>
            <w14:solidFill>
              <w14:schemeClr w14:val="tx1"/>
            </w14:solidFill>
          </w14:textFill>
        </w:rPr>
        <w:t>.4.4供应商在投标活动中提供任何虚假材料,其响应无效，并报监管部门查处；成交后发现的,成交供应商须依照《中华人民共和国消费者权益保护法》第49条之规定赔偿采购人，且民事赔偿并不免除违法供应商的行政与刑事责任。</w:t>
      </w:r>
    </w:p>
    <w:p w14:paraId="2A85BC5D">
      <w:pPr>
        <w:pStyle w:val="14"/>
        <w:spacing w:line="360" w:lineRule="exact"/>
        <w:ind w:firstLine="411" w:firstLineChars="196"/>
        <w:outlineLvl w:val="1"/>
        <w:rPr>
          <w:rFonts w:hint="eastAsia" w:asciiTheme="minorEastAsia" w:hAnsiTheme="minorEastAsia" w:eastAsiaTheme="minorEastAsia" w:cstheme="minorEastAsia"/>
          <w:bCs/>
          <w:color w:val="000000" w:themeColor="text1"/>
          <w:sz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highlight w:val="none"/>
          <w:lang w:val="en-US" w:eastAsia="zh-CN"/>
          <w14:textFill>
            <w14:solidFill>
              <w14:schemeClr w14:val="tx1"/>
            </w14:solidFill>
          </w14:textFill>
        </w:rPr>
        <w:t>3</w:t>
      </w:r>
      <w:r>
        <w:rPr>
          <w:rFonts w:hint="eastAsia" w:asciiTheme="minorEastAsia" w:hAnsiTheme="minorEastAsia" w:eastAsiaTheme="minorEastAsia" w:cstheme="minorEastAsia"/>
          <w:bCs/>
          <w:color w:val="000000" w:themeColor="text1"/>
          <w:sz w:val="21"/>
          <w:highlight w:val="none"/>
          <w14:textFill>
            <w14:solidFill>
              <w14:schemeClr w14:val="tx1"/>
            </w14:solidFill>
          </w14:textFill>
        </w:rPr>
        <w:t>.4.5在采购活动中，采购人员及相关人员与供应商有下列利害关系之一的，应当回避：</w:t>
      </w:r>
    </w:p>
    <w:p w14:paraId="449D5936">
      <w:pPr>
        <w:pStyle w:val="14"/>
        <w:spacing w:line="360" w:lineRule="exact"/>
        <w:ind w:firstLine="411" w:firstLineChars="196"/>
        <w:outlineLvl w:val="1"/>
        <w:rPr>
          <w:rFonts w:hint="eastAsia" w:asciiTheme="minorEastAsia" w:hAnsiTheme="minorEastAsia" w:eastAsiaTheme="minorEastAsia" w:cstheme="minorEastAsia"/>
          <w:bCs/>
          <w:color w:val="000000" w:themeColor="text1"/>
          <w:sz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highlight w:val="none"/>
          <w14:textFill>
            <w14:solidFill>
              <w14:schemeClr w14:val="tx1"/>
            </w14:solidFill>
          </w14:textFill>
        </w:rPr>
        <w:t>（1）参加采购活动前3年内与供应商存在劳动关系；</w:t>
      </w:r>
    </w:p>
    <w:p w14:paraId="21A20906">
      <w:pPr>
        <w:pStyle w:val="14"/>
        <w:spacing w:line="360" w:lineRule="exact"/>
        <w:ind w:firstLine="411" w:firstLineChars="196"/>
        <w:outlineLvl w:val="1"/>
        <w:rPr>
          <w:rFonts w:hint="eastAsia" w:asciiTheme="minorEastAsia" w:hAnsiTheme="minorEastAsia" w:eastAsiaTheme="minorEastAsia" w:cstheme="minorEastAsia"/>
          <w:bCs/>
          <w:color w:val="000000" w:themeColor="text1"/>
          <w:sz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highlight w:val="none"/>
          <w14:textFill>
            <w14:solidFill>
              <w14:schemeClr w14:val="tx1"/>
            </w14:solidFill>
          </w14:textFill>
        </w:rPr>
        <w:t>（2）参加采购活动前3年内担任供应商的董事、监事；</w:t>
      </w:r>
    </w:p>
    <w:p w14:paraId="1EE1B07F">
      <w:pPr>
        <w:pStyle w:val="14"/>
        <w:spacing w:line="360" w:lineRule="exact"/>
        <w:ind w:firstLine="411" w:firstLineChars="196"/>
        <w:outlineLvl w:val="1"/>
        <w:rPr>
          <w:rFonts w:hint="eastAsia" w:asciiTheme="minorEastAsia" w:hAnsiTheme="minorEastAsia" w:eastAsiaTheme="minorEastAsia" w:cstheme="minorEastAsia"/>
          <w:bCs/>
          <w:color w:val="000000" w:themeColor="text1"/>
          <w:sz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highlight w:val="none"/>
          <w14:textFill>
            <w14:solidFill>
              <w14:schemeClr w14:val="tx1"/>
            </w14:solidFill>
          </w14:textFill>
        </w:rPr>
        <w:t>（3）参加采购活动前3年内是供应商的控股股东或者实际控制人；</w:t>
      </w:r>
    </w:p>
    <w:p w14:paraId="39F18AFE">
      <w:pPr>
        <w:pStyle w:val="14"/>
        <w:spacing w:line="360" w:lineRule="exact"/>
        <w:ind w:firstLine="411" w:firstLineChars="196"/>
        <w:outlineLvl w:val="1"/>
        <w:rPr>
          <w:rFonts w:hint="eastAsia" w:asciiTheme="minorEastAsia" w:hAnsiTheme="minorEastAsia" w:eastAsiaTheme="minorEastAsia" w:cstheme="minorEastAsia"/>
          <w:bCs/>
          <w:color w:val="000000" w:themeColor="text1"/>
          <w:sz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highlight w:val="none"/>
          <w14:textFill>
            <w14:solidFill>
              <w14:schemeClr w14:val="tx1"/>
            </w14:solidFill>
          </w14:textFill>
        </w:rPr>
        <w:t>（4）与供应商的法定代表人或者负责人有夫妻、直系血亲、三代以内旁系血亲或者近姻亲关系；</w:t>
      </w:r>
    </w:p>
    <w:p w14:paraId="48200C85">
      <w:pPr>
        <w:pStyle w:val="14"/>
        <w:spacing w:line="360" w:lineRule="exact"/>
        <w:ind w:firstLine="411" w:firstLineChars="196"/>
        <w:outlineLvl w:val="1"/>
        <w:rPr>
          <w:rFonts w:hint="eastAsia" w:asciiTheme="minorEastAsia" w:hAnsiTheme="minorEastAsia" w:eastAsiaTheme="minorEastAsia" w:cstheme="minorEastAsia"/>
          <w:bCs/>
          <w:color w:val="000000" w:themeColor="text1"/>
          <w:sz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highlight w:val="none"/>
          <w14:textFill>
            <w14:solidFill>
              <w14:schemeClr w14:val="tx1"/>
            </w14:solidFill>
          </w14:textFill>
        </w:rPr>
        <w:t>（5）与供应商有其他可能影响采购活动公平、公正进行的关系。</w:t>
      </w:r>
    </w:p>
    <w:p w14:paraId="2551EABB">
      <w:pPr>
        <w:pStyle w:val="14"/>
        <w:spacing w:line="360" w:lineRule="exact"/>
        <w:ind w:firstLine="411" w:firstLineChars="196"/>
        <w:outlineLvl w:val="1"/>
        <w:rPr>
          <w:rFonts w:hint="eastAsia" w:asciiTheme="minorEastAsia" w:hAnsiTheme="minorEastAsia" w:eastAsiaTheme="minorEastAsia" w:cstheme="minorEastAsia"/>
          <w:bCs/>
          <w:color w:val="000000" w:themeColor="text1"/>
          <w:sz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highlight w:val="none"/>
          <w14:textFill>
            <w14:solidFill>
              <w14:schemeClr w14:val="tx1"/>
            </w14:solidFill>
          </w14:textFill>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617D84AB">
      <w:pPr>
        <w:pStyle w:val="14"/>
        <w:spacing w:line="360" w:lineRule="exact"/>
        <w:ind w:firstLine="411" w:firstLineChars="196"/>
        <w:outlineLvl w:val="1"/>
        <w:rPr>
          <w:rFonts w:hint="eastAsia" w:asciiTheme="minorEastAsia" w:hAnsiTheme="minorEastAsia" w:eastAsiaTheme="minorEastAsia" w:cstheme="minorEastAsia"/>
          <w:bCs/>
          <w:color w:val="000000" w:themeColor="text1"/>
          <w:sz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highlight w:val="none"/>
          <w:lang w:val="en-US" w:eastAsia="zh-CN"/>
          <w14:textFill>
            <w14:solidFill>
              <w14:schemeClr w14:val="tx1"/>
            </w14:solidFill>
          </w14:textFill>
        </w:rPr>
        <w:t>3</w:t>
      </w:r>
      <w:r>
        <w:rPr>
          <w:rFonts w:hint="eastAsia" w:asciiTheme="minorEastAsia" w:hAnsiTheme="minorEastAsia" w:eastAsiaTheme="minorEastAsia" w:cstheme="minorEastAsia"/>
          <w:bCs/>
          <w:color w:val="000000" w:themeColor="text1"/>
          <w:sz w:val="21"/>
          <w:highlight w:val="none"/>
          <w14:textFill>
            <w14:solidFill>
              <w14:schemeClr w14:val="tx1"/>
            </w14:solidFill>
          </w14:textFill>
        </w:rPr>
        <w:t>.4.6有下列情形之一的视为供应商相互串通投标，其响应无效：</w:t>
      </w:r>
    </w:p>
    <w:p w14:paraId="4232771C">
      <w:pPr>
        <w:pStyle w:val="14"/>
        <w:spacing w:line="360" w:lineRule="exact"/>
        <w:ind w:firstLine="411" w:firstLineChars="196"/>
        <w:outlineLvl w:val="1"/>
        <w:rPr>
          <w:rFonts w:hint="eastAsia" w:asciiTheme="minorEastAsia" w:hAnsiTheme="minorEastAsia" w:eastAsiaTheme="minorEastAsia" w:cstheme="minorEastAsia"/>
          <w:bCs/>
          <w:color w:val="000000" w:themeColor="text1"/>
          <w:sz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highlight w:val="none"/>
          <w14:textFill>
            <w14:solidFill>
              <w14:schemeClr w14:val="tx1"/>
            </w14:solidFill>
          </w14:textFill>
        </w:rPr>
        <w:t xml:space="preserve">（1）不同供应商的响应文件由同一单位或者个人编制； </w:t>
      </w:r>
    </w:p>
    <w:p w14:paraId="04857794">
      <w:pPr>
        <w:pStyle w:val="14"/>
        <w:spacing w:line="360" w:lineRule="exact"/>
        <w:ind w:firstLine="411" w:firstLineChars="196"/>
        <w:outlineLvl w:val="1"/>
        <w:rPr>
          <w:rFonts w:hint="eastAsia" w:asciiTheme="minorEastAsia" w:hAnsiTheme="minorEastAsia" w:eastAsiaTheme="minorEastAsia" w:cstheme="minorEastAsia"/>
          <w:bCs/>
          <w:color w:val="000000" w:themeColor="text1"/>
          <w:sz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highlight w:val="none"/>
          <w14:textFill>
            <w14:solidFill>
              <w14:schemeClr w14:val="tx1"/>
            </w14:solidFill>
          </w14:textFill>
        </w:rPr>
        <w:t>（2）不同供应商委托同一单位或者个人办理投标事宜；</w:t>
      </w:r>
    </w:p>
    <w:p w14:paraId="3005BB5F">
      <w:pPr>
        <w:pStyle w:val="14"/>
        <w:spacing w:line="360" w:lineRule="exact"/>
        <w:ind w:firstLine="411" w:firstLineChars="196"/>
        <w:outlineLvl w:val="1"/>
        <w:rPr>
          <w:rFonts w:hint="eastAsia" w:asciiTheme="minorEastAsia" w:hAnsiTheme="minorEastAsia" w:eastAsiaTheme="minorEastAsia" w:cstheme="minorEastAsia"/>
          <w:bCs/>
          <w:color w:val="000000" w:themeColor="text1"/>
          <w:sz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highlight w:val="none"/>
          <w14:textFill>
            <w14:solidFill>
              <w14:schemeClr w14:val="tx1"/>
            </w14:solidFill>
          </w14:textFill>
        </w:rPr>
        <w:t>（3）不同供应商的响应文件载明的项目管理成员或者联系人员为同一人；</w:t>
      </w:r>
    </w:p>
    <w:p w14:paraId="17333630">
      <w:pPr>
        <w:pStyle w:val="14"/>
        <w:spacing w:line="360" w:lineRule="exact"/>
        <w:ind w:firstLine="411" w:firstLineChars="196"/>
        <w:outlineLvl w:val="1"/>
        <w:rPr>
          <w:rFonts w:hint="eastAsia" w:asciiTheme="minorEastAsia" w:hAnsiTheme="minorEastAsia" w:eastAsiaTheme="minorEastAsia" w:cstheme="minorEastAsia"/>
          <w:bCs/>
          <w:color w:val="000000" w:themeColor="text1"/>
          <w:sz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highlight w:val="none"/>
          <w14:textFill>
            <w14:solidFill>
              <w14:schemeClr w14:val="tx1"/>
            </w14:solidFill>
          </w14:textFill>
        </w:rPr>
        <w:t>（4）不同供应商的响应文件异常一致或投标报价呈规律性差异；</w:t>
      </w:r>
    </w:p>
    <w:p w14:paraId="7B4972FF">
      <w:pPr>
        <w:pStyle w:val="14"/>
        <w:spacing w:line="360" w:lineRule="exact"/>
        <w:ind w:firstLine="411" w:firstLineChars="196"/>
        <w:outlineLvl w:val="1"/>
        <w:rPr>
          <w:rFonts w:hint="eastAsia" w:asciiTheme="minorEastAsia" w:hAnsiTheme="minorEastAsia" w:eastAsiaTheme="minorEastAsia" w:cstheme="minorEastAsia"/>
          <w:bCs/>
          <w:color w:val="000000" w:themeColor="text1"/>
          <w:sz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highlight w:val="none"/>
          <w14:textFill>
            <w14:solidFill>
              <w14:schemeClr w14:val="tx1"/>
            </w14:solidFill>
          </w14:textFill>
        </w:rPr>
        <w:t>（5）不同供应商的响应文件相互混装；</w:t>
      </w:r>
    </w:p>
    <w:p w14:paraId="1FFFCB31">
      <w:pPr>
        <w:pStyle w:val="14"/>
        <w:spacing w:line="360" w:lineRule="exact"/>
        <w:ind w:firstLine="411" w:firstLineChars="196"/>
        <w:outlineLvl w:val="1"/>
        <w:rPr>
          <w:rFonts w:hint="eastAsia" w:asciiTheme="minorEastAsia" w:hAnsiTheme="minorEastAsia" w:eastAsiaTheme="minorEastAsia" w:cstheme="minorEastAsia"/>
          <w:bCs/>
          <w:color w:val="000000" w:themeColor="text1"/>
          <w:sz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highlight w:val="none"/>
          <w14:textFill>
            <w14:solidFill>
              <w14:schemeClr w14:val="tx1"/>
            </w14:solidFill>
          </w14:textFill>
        </w:rPr>
        <w:t>（6）不同供应商的磋商保证金从同一单位或者个人账户转出。</w:t>
      </w:r>
    </w:p>
    <w:p w14:paraId="63570AC2">
      <w:pPr>
        <w:pStyle w:val="14"/>
        <w:spacing w:line="360" w:lineRule="exact"/>
        <w:ind w:firstLine="411" w:firstLineChars="196"/>
        <w:outlineLvl w:val="1"/>
        <w:rPr>
          <w:rFonts w:hint="eastAsia" w:asciiTheme="minorEastAsia" w:hAnsiTheme="minorEastAsia" w:eastAsiaTheme="minorEastAsia" w:cstheme="minorEastAsia"/>
          <w:bCs/>
          <w:color w:val="000000" w:themeColor="text1"/>
          <w:sz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highlight w:val="none"/>
          <w:lang w:val="en-US" w:eastAsia="zh-CN"/>
          <w14:textFill>
            <w14:solidFill>
              <w14:schemeClr w14:val="tx1"/>
            </w14:solidFill>
          </w14:textFill>
        </w:rPr>
        <w:t>3</w:t>
      </w:r>
      <w:r>
        <w:rPr>
          <w:rFonts w:hint="eastAsia" w:asciiTheme="minorEastAsia" w:hAnsiTheme="minorEastAsia" w:eastAsiaTheme="minorEastAsia" w:cstheme="minorEastAsia"/>
          <w:bCs/>
          <w:color w:val="000000" w:themeColor="text1"/>
          <w:sz w:val="21"/>
          <w:highlight w:val="none"/>
          <w14:textFill>
            <w14:solidFill>
              <w14:schemeClr w14:val="tx1"/>
            </w14:solidFill>
          </w14:textFill>
        </w:rPr>
        <w:t>.4.7供应商有下列情形之一的，属于恶意串通行为：</w:t>
      </w:r>
    </w:p>
    <w:p w14:paraId="13363A7C">
      <w:pPr>
        <w:pStyle w:val="14"/>
        <w:spacing w:line="360" w:lineRule="exact"/>
        <w:ind w:firstLine="411" w:firstLineChars="196"/>
        <w:outlineLvl w:val="1"/>
        <w:rPr>
          <w:rFonts w:hint="eastAsia" w:asciiTheme="minorEastAsia" w:hAnsiTheme="minorEastAsia" w:eastAsiaTheme="minorEastAsia" w:cstheme="minorEastAsia"/>
          <w:bCs/>
          <w:color w:val="000000" w:themeColor="text1"/>
          <w:sz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highlight w:val="none"/>
          <w14:textFill>
            <w14:solidFill>
              <w14:schemeClr w14:val="tx1"/>
            </w14:solidFill>
          </w14:textFill>
        </w:rPr>
        <w:t>（1）供应商直接或者间接从采购人或者采购代理机构处获得其他供应商的相关信息并修改其响应文件或者响应文件：</w:t>
      </w:r>
    </w:p>
    <w:p w14:paraId="33F8A3B8">
      <w:pPr>
        <w:pStyle w:val="14"/>
        <w:spacing w:line="360" w:lineRule="exact"/>
        <w:ind w:firstLine="411" w:firstLineChars="196"/>
        <w:outlineLvl w:val="1"/>
        <w:rPr>
          <w:rFonts w:hint="eastAsia" w:asciiTheme="minorEastAsia" w:hAnsiTheme="minorEastAsia" w:eastAsiaTheme="minorEastAsia" w:cstheme="minorEastAsia"/>
          <w:bCs/>
          <w:color w:val="000000" w:themeColor="text1"/>
          <w:sz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highlight w:val="none"/>
          <w14:textFill>
            <w14:solidFill>
              <w14:schemeClr w14:val="tx1"/>
            </w14:solidFill>
          </w14:textFill>
        </w:rPr>
        <w:t>（2）供应商按照采购人或者采购代理机构的授意撤换、修改响应文件或者响应文件；</w:t>
      </w:r>
    </w:p>
    <w:p w14:paraId="6F6B686A">
      <w:pPr>
        <w:pStyle w:val="14"/>
        <w:spacing w:line="360" w:lineRule="exact"/>
        <w:ind w:firstLine="411" w:firstLineChars="196"/>
        <w:outlineLvl w:val="1"/>
        <w:rPr>
          <w:rFonts w:hint="eastAsia" w:asciiTheme="minorEastAsia" w:hAnsiTheme="minorEastAsia" w:eastAsiaTheme="minorEastAsia" w:cstheme="minorEastAsia"/>
          <w:bCs/>
          <w:color w:val="000000" w:themeColor="text1"/>
          <w:sz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highlight w:val="none"/>
          <w14:textFill>
            <w14:solidFill>
              <w14:schemeClr w14:val="tx1"/>
            </w14:solidFill>
          </w14:textFill>
        </w:rPr>
        <w:t>（3）供应商之间协商报价、技术方案等响应文件或者响应文件的实质性内容；</w:t>
      </w:r>
    </w:p>
    <w:p w14:paraId="7C3DD3A0">
      <w:pPr>
        <w:pStyle w:val="14"/>
        <w:spacing w:line="360" w:lineRule="exact"/>
        <w:ind w:firstLine="411" w:firstLineChars="196"/>
        <w:outlineLvl w:val="1"/>
        <w:rPr>
          <w:rFonts w:hint="eastAsia" w:asciiTheme="minorEastAsia" w:hAnsiTheme="minorEastAsia" w:eastAsiaTheme="minorEastAsia" w:cstheme="minorEastAsia"/>
          <w:bCs/>
          <w:color w:val="000000" w:themeColor="text1"/>
          <w:sz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highlight w:val="none"/>
          <w14:textFill>
            <w14:solidFill>
              <w14:schemeClr w14:val="tx1"/>
            </w14:solidFill>
          </w14:textFill>
        </w:rPr>
        <w:t>（4）属于同一集团、协会、商会等组织成员的供应商按照该组织要求协同参加政府采购活动；</w:t>
      </w:r>
    </w:p>
    <w:p w14:paraId="47C0E5D0">
      <w:pPr>
        <w:pStyle w:val="14"/>
        <w:spacing w:line="360" w:lineRule="exact"/>
        <w:ind w:firstLine="411" w:firstLineChars="196"/>
        <w:outlineLvl w:val="1"/>
        <w:rPr>
          <w:rFonts w:hint="eastAsia" w:asciiTheme="minorEastAsia" w:hAnsiTheme="minorEastAsia" w:eastAsiaTheme="minorEastAsia" w:cstheme="minorEastAsia"/>
          <w:bCs/>
          <w:color w:val="000000" w:themeColor="text1"/>
          <w:sz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highlight w:val="none"/>
          <w14:textFill>
            <w14:solidFill>
              <w14:schemeClr w14:val="tx1"/>
            </w14:solidFill>
          </w14:textFill>
        </w:rPr>
        <w:t>（5）供应商之间事先约定一致抬高或者压低投标报价,或者在招标项目中事先约定轮流以高价位或者低价位中标,或者事先约定由某一特定供应商中标,然后再参加投标；</w:t>
      </w:r>
    </w:p>
    <w:p w14:paraId="0568E6D5">
      <w:pPr>
        <w:pStyle w:val="14"/>
        <w:spacing w:line="360" w:lineRule="exact"/>
        <w:ind w:firstLine="411" w:firstLineChars="196"/>
        <w:outlineLvl w:val="1"/>
        <w:rPr>
          <w:rFonts w:hint="eastAsia" w:asciiTheme="minorEastAsia" w:hAnsiTheme="minorEastAsia" w:eastAsiaTheme="minorEastAsia" w:cstheme="minorEastAsia"/>
          <w:bCs/>
          <w:color w:val="000000" w:themeColor="text1"/>
          <w:sz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highlight w:val="none"/>
          <w14:textFill>
            <w14:solidFill>
              <w14:schemeClr w14:val="tx1"/>
            </w14:solidFill>
          </w14:textFill>
        </w:rPr>
        <w:t>（6）供应商之间商定部分供应商放弃参加采购活动或者放弃中标；</w:t>
      </w:r>
    </w:p>
    <w:p w14:paraId="50252C88">
      <w:pPr>
        <w:pStyle w:val="14"/>
        <w:spacing w:line="360" w:lineRule="exact"/>
        <w:ind w:firstLine="411" w:firstLineChars="196"/>
        <w:outlineLvl w:val="1"/>
        <w:rPr>
          <w:rFonts w:hint="eastAsia" w:asciiTheme="minorEastAsia" w:hAnsiTheme="minorEastAsia" w:eastAsiaTheme="minorEastAsia" w:cstheme="minorEastAsia"/>
          <w:bCs/>
          <w:color w:val="000000" w:themeColor="text1"/>
          <w:sz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highlight w:val="none"/>
          <w14:textFill>
            <w14:solidFill>
              <w14:schemeClr w14:val="tx1"/>
            </w14:solidFill>
          </w14:textFill>
        </w:rPr>
        <w:t>（7）供应商与采购人或者采购代理机构之间、供应商相互之间，为谋求特定供应商中标或者排斥其他供应商的其他串通行为。</w:t>
      </w:r>
    </w:p>
    <w:p w14:paraId="58A9FE18">
      <w:pPr>
        <w:pStyle w:val="14"/>
        <w:spacing w:line="360" w:lineRule="exact"/>
        <w:ind w:firstLine="411" w:firstLineChars="196"/>
        <w:outlineLvl w:val="1"/>
        <w:rPr>
          <w:rFonts w:hint="eastAsia" w:asciiTheme="minorEastAsia" w:hAnsiTheme="minorEastAsia" w:eastAsiaTheme="minorEastAsia" w:cstheme="minorEastAsia"/>
          <w:bCs/>
          <w:color w:val="000000" w:themeColor="text1"/>
          <w:sz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highlight w:val="none"/>
          <w:lang w:val="en-US" w:eastAsia="zh-CN"/>
          <w14:textFill>
            <w14:solidFill>
              <w14:schemeClr w14:val="tx1"/>
            </w14:solidFill>
          </w14:textFill>
        </w:rPr>
        <w:t>3</w:t>
      </w:r>
      <w:r>
        <w:rPr>
          <w:rFonts w:hint="eastAsia" w:asciiTheme="minorEastAsia" w:hAnsiTheme="minorEastAsia" w:eastAsiaTheme="minorEastAsia" w:cstheme="minorEastAsia"/>
          <w:bCs/>
          <w:color w:val="000000" w:themeColor="text1"/>
          <w:sz w:val="21"/>
          <w:highlight w:val="none"/>
          <w14:textFill>
            <w14:solidFill>
              <w14:schemeClr w14:val="tx1"/>
            </w14:solidFill>
          </w14:textFill>
        </w:rPr>
        <w:t>.4.8关联供应商不得参加同一合同项下采购活动，否则响应文件将被视为无效：</w:t>
      </w:r>
    </w:p>
    <w:p w14:paraId="58276057">
      <w:pPr>
        <w:pStyle w:val="14"/>
        <w:spacing w:line="360" w:lineRule="exact"/>
        <w:ind w:firstLine="411" w:firstLineChars="196"/>
        <w:outlineLvl w:val="1"/>
        <w:rPr>
          <w:rFonts w:hint="eastAsia" w:asciiTheme="minorEastAsia" w:hAnsiTheme="minorEastAsia" w:eastAsiaTheme="minorEastAsia" w:cstheme="minorEastAsia"/>
          <w:bCs/>
          <w:color w:val="000000" w:themeColor="text1"/>
          <w:sz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highlight w:val="none"/>
          <w14:textFill>
            <w14:solidFill>
              <w14:schemeClr w14:val="tx1"/>
            </w14:solidFill>
          </w14:textFill>
        </w:rPr>
        <w:t>（1）单位负责人为同一人或者存在直接控股、管理关系的不同的供应商，不得参加同一合同项下的政府采购活动；</w:t>
      </w:r>
    </w:p>
    <w:p w14:paraId="31804147">
      <w:pPr>
        <w:pStyle w:val="14"/>
        <w:spacing w:line="360" w:lineRule="exact"/>
        <w:ind w:firstLine="411" w:firstLineChars="196"/>
        <w:outlineLvl w:val="1"/>
        <w:rPr>
          <w:rFonts w:hint="eastAsia" w:asciiTheme="minorEastAsia" w:hAnsiTheme="minorEastAsia" w:eastAsiaTheme="minorEastAsia" w:cstheme="minorEastAsia"/>
          <w:bCs/>
          <w:color w:val="000000" w:themeColor="text1"/>
          <w:sz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highlight w:val="none"/>
          <w14:textFill>
            <w14:solidFill>
              <w14:schemeClr w14:val="tx1"/>
            </w14:solidFill>
          </w14:textFill>
        </w:rPr>
        <w:t>（2）生产厂商授权给供应商后自己不得参加同一合同项下的采购活动；生产厂商对同一品牌同一型号的货物，仅能委托一个代理商参加投标。</w:t>
      </w:r>
    </w:p>
    <w:p w14:paraId="6561FB44">
      <w:pPr>
        <w:pStyle w:val="14"/>
        <w:spacing w:line="360" w:lineRule="exact"/>
        <w:ind w:firstLine="411" w:firstLineChars="196"/>
        <w:outlineLvl w:val="1"/>
        <w:rPr>
          <w:rFonts w:hint="eastAsia" w:asciiTheme="minorEastAsia" w:hAnsiTheme="minorEastAsia" w:eastAsiaTheme="minorEastAsia" w:cstheme="minorEastAsia"/>
          <w:bCs/>
          <w:color w:val="000000" w:themeColor="text1"/>
          <w:sz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highlight w:val="none"/>
          <w14:textFill>
            <w14:solidFill>
              <w14:schemeClr w14:val="tx1"/>
            </w14:solidFill>
          </w14:textFill>
        </w:rPr>
        <w:t>（3）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0993191E">
      <w:pPr>
        <w:spacing w:line="360" w:lineRule="exact"/>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1"/>
          <w:highlight w:val="none"/>
          <w:lang w:val="en-US" w:eastAsia="zh-CN"/>
          <w14:textFill>
            <w14:solidFill>
              <w14:schemeClr w14:val="tx1"/>
            </w14:solidFill>
          </w14:textFill>
        </w:rPr>
        <w:t>四</w:t>
      </w: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、磋商的步骤</w:t>
      </w:r>
    </w:p>
    <w:p w14:paraId="368C32AB">
      <w:pPr>
        <w:pStyle w:val="14"/>
        <w:spacing w:line="360" w:lineRule="exact"/>
        <w:ind w:firstLine="420"/>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000000" w:themeColor="text1"/>
          <w:sz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1"/>
          <w:highlight w:val="none"/>
          <w14:textFill>
            <w14:solidFill>
              <w14:schemeClr w14:val="tx1"/>
            </w14:solidFill>
          </w14:textFill>
        </w:rPr>
        <w:t>.1磋商时间：</w:t>
      </w:r>
      <w:r>
        <w:rPr>
          <w:rFonts w:hint="eastAsia" w:asciiTheme="minorEastAsia" w:hAnsiTheme="minorEastAsia" w:eastAsiaTheme="minorEastAsia" w:cstheme="minorEastAsia"/>
          <w:color w:val="000000" w:themeColor="text1"/>
          <w:sz w:val="21"/>
          <w:highlight w:val="none"/>
          <w:u w:val="single"/>
          <w:lang w:eastAsia="zh-CN"/>
          <w14:textFill>
            <w14:solidFill>
              <w14:schemeClr w14:val="tx1"/>
            </w14:solidFill>
          </w14:textFill>
        </w:rPr>
        <w:t>2024 年</w:t>
      </w:r>
      <w:r>
        <w:rPr>
          <w:rFonts w:hint="eastAsia" w:asciiTheme="minorEastAsia" w:hAnsiTheme="minorEastAsia" w:eastAsiaTheme="minorEastAsia" w:cstheme="minorEastAsia"/>
          <w:color w:val="000000" w:themeColor="text1"/>
          <w:sz w:val="21"/>
          <w:highlight w:val="none"/>
          <w:u w:val="single"/>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sz w:val="21"/>
          <w:highlight w:val="none"/>
          <w:u w:val="single"/>
          <w:lang w:eastAsia="zh-CN"/>
          <w14:textFill>
            <w14:solidFill>
              <w14:schemeClr w14:val="tx1"/>
            </w14:solidFill>
          </w14:textFill>
        </w:rPr>
        <w:t>月</w:t>
      </w:r>
      <w:r>
        <w:rPr>
          <w:rFonts w:hint="eastAsia" w:asciiTheme="minorEastAsia" w:hAnsiTheme="minorEastAsia" w:eastAsiaTheme="minorEastAsia" w:cstheme="minorEastAsia"/>
          <w:color w:val="000000" w:themeColor="text1"/>
          <w:sz w:val="21"/>
          <w:highlight w:val="none"/>
          <w:u w:val="single"/>
          <w:lang w:val="en-US" w:eastAsia="zh-CN"/>
          <w14:textFill>
            <w14:solidFill>
              <w14:schemeClr w14:val="tx1"/>
            </w14:solidFill>
          </w14:textFill>
        </w:rPr>
        <w:t xml:space="preserve">16 </w:t>
      </w:r>
      <w:r>
        <w:rPr>
          <w:rFonts w:hint="eastAsia" w:asciiTheme="minorEastAsia" w:hAnsiTheme="minorEastAsia" w:eastAsiaTheme="minorEastAsia" w:cstheme="minorEastAsia"/>
          <w:color w:val="000000" w:themeColor="text1"/>
          <w:sz w:val="21"/>
          <w:highlight w:val="none"/>
          <w:u w:val="single"/>
          <w:lang w:eastAsia="zh-CN"/>
          <w14:textFill>
            <w14:solidFill>
              <w14:schemeClr w14:val="tx1"/>
            </w14:solidFill>
          </w14:textFill>
        </w:rPr>
        <w:t>日09时30分(北京时间）</w:t>
      </w:r>
      <w:r>
        <w:rPr>
          <w:rFonts w:hint="eastAsia" w:asciiTheme="minorEastAsia" w:hAnsiTheme="minorEastAsia" w:eastAsiaTheme="minorEastAsia" w:cstheme="minorEastAsia"/>
          <w:color w:val="000000" w:themeColor="text1"/>
          <w:sz w:val="21"/>
          <w:highlight w:val="none"/>
          <w14:textFill>
            <w14:solidFill>
              <w14:schemeClr w14:val="tx1"/>
            </w14:solidFill>
          </w14:textFill>
        </w:rPr>
        <w:t>截标后（具体时间由采购代理</w:t>
      </w:r>
      <w:r>
        <w:rPr>
          <w:rFonts w:hint="eastAsia" w:asciiTheme="minorEastAsia" w:hAnsiTheme="minorEastAsia" w:eastAsiaTheme="minorEastAsia" w:cstheme="minorEastAsia"/>
          <w:color w:val="auto"/>
          <w:sz w:val="21"/>
          <w:highlight w:val="none"/>
        </w:rPr>
        <w:t>机构另行通知）</w:t>
      </w:r>
    </w:p>
    <w:p w14:paraId="74A6C538">
      <w:pPr>
        <w:widowControl/>
        <w:tabs>
          <w:tab w:val="left" w:pos="540"/>
        </w:tabs>
        <w:spacing w:line="360" w:lineRule="exact"/>
        <w:ind w:firstLine="440" w:firstLineChars="200"/>
        <w:jc w:val="left"/>
        <w:rPr>
          <w:rFonts w:hint="eastAsia" w:asciiTheme="minorEastAsia" w:hAnsiTheme="minorEastAsia" w:eastAsiaTheme="minorEastAsia" w:cstheme="minorEastAsia"/>
          <w:color w:val="auto"/>
          <w:szCs w:val="21"/>
          <w:highlight w:val="none"/>
          <w:lang w:val="en-US"/>
        </w:rPr>
      </w:pPr>
      <w:r>
        <w:rPr>
          <w:rFonts w:hint="eastAsia" w:asciiTheme="minorEastAsia" w:hAnsiTheme="minorEastAsia" w:eastAsiaTheme="minorEastAsia" w:cstheme="minorEastAsia"/>
          <w:color w:val="auto"/>
          <w:szCs w:val="21"/>
          <w:highlight w:val="none"/>
        </w:rPr>
        <w:t>磋商地点：</w:t>
      </w:r>
      <w:r>
        <w:rPr>
          <w:rFonts w:hint="eastAsia" w:ascii="宋体" w:hAnsi="宋体" w:eastAsia="宋体" w:cs="宋体"/>
          <w:color w:val="auto"/>
          <w:kern w:val="0"/>
          <w:sz w:val="21"/>
          <w:szCs w:val="21"/>
          <w:highlight w:val="none"/>
          <w:lang w:val="en-US" w:eastAsia="zh-CN"/>
        </w:rPr>
        <w:t>广西农牧工程学校教育教学服务中心</w:t>
      </w:r>
    </w:p>
    <w:p w14:paraId="252F7FF0">
      <w:pPr>
        <w:spacing w:line="360" w:lineRule="exact"/>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.2第一轮磋商</w:t>
      </w:r>
    </w:p>
    <w:p w14:paraId="7B822ADE">
      <w:pPr>
        <w:spacing w:line="360" w:lineRule="exact"/>
        <w:ind w:firstLine="440" w:firstLineChars="20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磋商小组对竞争性磋商响应文件进行资格性审查，依据竞争性磋商文件对已通过资格性审核的各竞争性磋商响应文件进行符合性评审，审查竞争性磋商响应文件是否实质上响应了竞争性磋商文件的要求，审查后磋商小组须告知未实质性响应磋商文件的供应商。</w:t>
      </w:r>
    </w:p>
    <w:p w14:paraId="471E5AC0">
      <w:pPr>
        <w:spacing w:line="360" w:lineRule="exact"/>
        <w:ind w:firstLine="431" w:firstLineChars="196"/>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在评审后由磋商小组组长主持，归纳各专家审核意见，形</w:t>
      </w:r>
      <w:r>
        <w:rPr>
          <w:rFonts w:hint="eastAsia" w:asciiTheme="minorEastAsia" w:hAnsiTheme="minorEastAsia" w:eastAsiaTheme="minorEastAsia" w:cstheme="minorEastAsia"/>
          <w:color w:val="000000" w:themeColor="text1"/>
          <w:highlight w:val="none"/>
          <w14:textFill>
            <w14:solidFill>
              <w14:schemeClr w14:val="tx1"/>
            </w14:solidFill>
          </w14:textFill>
        </w:rPr>
        <w:t>成磋商要点。磋商小组依据磋商要点，与单一供应商分别进行磋商，给予所有参加磋商的供应商平等的磋商机会。</w:t>
      </w:r>
    </w:p>
    <w:p w14:paraId="543B6B2A">
      <w:pPr>
        <w:spacing w:line="360" w:lineRule="exact"/>
        <w:ind w:firstLine="431" w:firstLineChars="196"/>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磋商评审在严格保密的情况下进行，磋商的任何一方不得透露与磋商有关的其他供应商的技术资料、价格和其他信息。本中心对磋商过程和重要磋商内容进行记录，磋商双方在记录上签字确认。</w:t>
      </w:r>
    </w:p>
    <w:p w14:paraId="28C524FB">
      <w:pPr>
        <w:spacing w:line="360" w:lineRule="exact"/>
        <w:ind w:firstLine="431" w:firstLineChars="196"/>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磋商后，供应商根据磋商小组统一整理的书面磋商记录要求做出书面承诺，并由其法定代表人(负责人)或授权代表签字或者加盖公章后按时密封递交。</w:t>
      </w:r>
    </w:p>
    <w:p w14:paraId="2BF5DFAB">
      <w:pPr>
        <w:spacing w:line="360" w:lineRule="exact"/>
        <w:ind w:firstLine="431" w:firstLineChars="196"/>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当磋商小组一致确定供应商的竞争性磋商响应文件能够详细列明采购标的的技术、服务要求且符合竞争性磋商文件要求，无需再磋商的，磋商小组按竞争性磋商文件设定的程序和综合评分法确定成交候选供应商。第一轮磋商后竞争性磋商文件有实质性变动或仍需磋商的，磋商小组对竞争性磋商文件变动或提出磋商意见后进行第二轮磋商。</w:t>
      </w:r>
    </w:p>
    <w:p w14:paraId="45656628">
      <w:pPr>
        <w:widowControl/>
        <w:tabs>
          <w:tab w:val="left" w:pos="540"/>
        </w:tabs>
        <w:spacing w:line="360" w:lineRule="exact"/>
        <w:jc w:val="left"/>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.2竞争性磋商文件变动</w:t>
      </w:r>
    </w:p>
    <w:p w14:paraId="76F5CD79">
      <w:pPr>
        <w:spacing w:line="360" w:lineRule="exact"/>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w:t>
      </w:r>
      <w:r>
        <w:rPr>
          <w:rFonts w:hint="eastAsia" w:asciiTheme="minorEastAsia" w:hAnsiTheme="minorEastAsia" w:eastAsiaTheme="minorEastAsia" w:cstheme="minorEastAsia"/>
          <w:color w:val="000000" w:themeColor="text1"/>
          <w:highlight w:val="none"/>
          <w14:textFill>
            <w14:solidFill>
              <w14:schemeClr w14:val="tx1"/>
            </w14:solidFill>
          </w14:textFill>
        </w:rPr>
        <w:t>第一轮磋商结束后，各供应商退场等候，由磋商小组组长主持，根据竞争性磋商文件和磋商情况结合第一轮磋商整体情况，可以对竞争性磋商文件采购需求中已事先明确的可能实质性变动采购需求中的技术、服务要求以及合同草案条款进行统一变动，但不得变动竞争性磋商文件中的其他内容。实质性变动的内容，须经采购人代表确认。</w:t>
      </w:r>
    </w:p>
    <w:p w14:paraId="01E39901">
      <w:pPr>
        <w:spacing w:line="360" w:lineRule="exact"/>
        <w:ind w:firstLine="431" w:firstLineChars="196"/>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对竞争性磋商文件作出的实质性变动是竞争性磋商文件的有效组成部分，磋商小组应当及时以书面形式同时通知所有参加磋商的供应商，并要求供应商做出书面响应。</w:t>
      </w:r>
    </w:p>
    <w:p w14:paraId="435A34DD">
      <w:pPr>
        <w:spacing w:line="360" w:lineRule="exact"/>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highlight w:val="none"/>
          <w14:textFill>
            <w14:solidFill>
              <w14:schemeClr w14:val="tx1"/>
            </w14:solidFill>
          </w14:textFill>
        </w:rPr>
        <w:t>供应商应当按照竞争性磋商文件的变动情况和磋商小组的要求重新提交竞争性磋商响应文件，并由其法定代表人(负责人)或授权代表签字或者加盖公章后密封递交。由授权代表（委托代理人）签字的，应当附法定代表人(负责人)授权书。供应商为自然人的，应当由本人签字并附身份证明。逾时不交的，视同放弃磋商。重新提交的响应文件与竞争性磋商响应文件同具法律效力。</w:t>
      </w:r>
    </w:p>
    <w:p w14:paraId="0B156778">
      <w:pPr>
        <w:widowControl/>
        <w:spacing w:line="360" w:lineRule="exact"/>
        <w:jc w:val="left"/>
        <w:rPr>
          <w:rFonts w:hint="eastAsia" w:asciiTheme="minorEastAsia" w:hAnsiTheme="minorEastAsia" w:eastAsiaTheme="minorEastAsia" w:cstheme="minorEastAsia"/>
          <w:b/>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b/>
          <w:color w:val="000000" w:themeColor="text1"/>
          <w:kern w:val="0"/>
          <w:szCs w:val="21"/>
          <w:highlight w:val="none"/>
          <w14:textFill>
            <w14:solidFill>
              <w14:schemeClr w14:val="tx1"/>
            </w14:solidFill>
          </w14:textFill>
        </w:rPr>
        <w:t>.3第二轮磋商</w:t>
      </w:r>
    </w:p>
    <w:p w14:paraId="03091644">
      <w:pPr>
        <w:widowControl/>
        <w:tabs>
          <w:tab w:val="left" w:pos="540"/>
        </w:tabs>
        <w:spacing w:line="360" w:lineRule="exact"/>
        <w:ind w:firstLine="44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磋商小组集中就</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重新提交的响应文件或</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磋商小组</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提出的磋商意见</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与单一响应供应商分别进行磋商。</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对磋商过程和重要磋商内容进行记录，磋商双方在记录上签字确认。</w:t>
      </w:r>
    </w:p>
    <w:p w14:paraId="58FE9100">
      <w:pPr>
        <w:widowControl/>
        <w:tabs>
          <w:tab w:val="left" w:pos="540"/>
        </w:tabs>
        <w:spacing w:line="360" w:lineRule="exact"/>
        <w:ind w:firstLine="44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磋商后，供应商根据磋商小组统一整理的书面磋商记录要求做出书面承诺，并由其法定代表人(负责人)或授权代表签字或者加盖公章</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后按时密封递交</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p w14:paraId="446D9032">
      <w:pPr>
        <w:widowControl/>
        <w:tabs>
          <w:tab w:val="left" w:pos="540"/>
        </w:tabs>
        <w:spacing w:line="360" w:lineRule="exact"/>
        <w:ind w:firstLine="44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当磋商小组一致确定供应商的竞争性磋商响应文件能够详细列明采购标的的技术、服务要求且符合竞争性磋商文件要求，无需再磋商的，磋商小组按竞争性磋商文件设定的</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程序和</w:t>
      </w:r>
      <w:r>
        <w:rPr>
          <w:rFonts w:hint="eastAsia" w:asciiTheme="minorEastAsia" w:hAnsiTheme="minorEastAsia" w:eastAsiaTheme="minorEastAsia" w:cstheme="minorEastAsia"/>
          <w:color w:val="000000" w:themeColor="text1"/>
          <w:highlight w:val="none"/>
          <w14:textFill>
            <w14:solidFill>
              <w14:schemeClr w14:val="tx1"/>
            </w14:solidFill>
          </w14:textFill>
        </w:rPr>
        <w:t>综合评分法</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确定成交候选供应商。第二轮磋商后竞争性磋商文件仍有实质性变动的或仍需磋商的，磋商小组对竞争性磋商文件变动或提出磋商意见后进行第三轮磋商。以此类推。</w:t>
      </w:r>
    </w:p>
    <w:p w14:paraId="1DB82B67">
      <w:pPr>
        <w:widowControl/>
        <w:tabs>
          <w:tab w:val="left" w:pos="540"/>
        </w:tabs>
        <w:spacing w:line="360" w:lineRule="exact"/>
        <w:ind w:firstLine="44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最终磋商结束后，“磋商小组”不得再与供应商进行任何形式的商谈。</w:t>
      </w:r>
    </w:p>
    <w:p w14:paraId="59429794">
      <w:pPr>
        <w:widowControl/>
        <w:tabs>
          <w:tab w:val="left" w:pos="540"/>
        </w:tabs>
        <w:spacing w:line="360" w:lineRule="exact"/>
        <w:jc w:val="left"/>
        <w:rPr>
          <w:rFonts w:hint="eastAsia" w:asciiTheme="minorEastAsia" w:hAnsiTheme="minorEastAsia" w:eastAsiaTheme="minorEastAsia" w:cstheme="minorEastAsia"/>
          <w:b/>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b/>
          <w:color w:val="000000" w:themeColor="text1"/>
          <w:kern w:val="0"/>
          <w:szCs w:val="21"/>
          <w:highlight w:val="none"/>
          <w14:textFill>
            <w14:solidFill>
              <w14:schemeClr w14:val="tx1"/>
            </w14:solidFill>
          </w14:textFill>
        </w:rPr>
        <w:t>.4最后报价及成交候选供应商推荐</w:t>
      </w:r>
    </w:p>
    <w:p w14:paraId="67B14420">
      <w:pPr>
        <w:widowControl/>
        <w:tabs>
          <w:tab w:val="left" w:pos="540"/>
        </w:tabs>
        <w:spacing w:line="360" w:lineRule="exact"/>
        <w:ind w:firstLine="440" w:firstLineChars="200"/>
        <w:jc w:val="left"/>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磋商结束后，磋商小组要求所有继续参加磋商的供应商在规定时间内提交最后报价。提交最后报价的供应商不得少于3家，继续参加磋商的供应商</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作最后报价</w:t>
      </w: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并附相应的最后报价表，最后报价表须由其法定代表人或授权代表签字或者加盖公章</w:t>
      </w:r>
      <w:r>
        <w:rPr>
          <w:rFonts w:hint="eastAsia" w:asciiTheme="minorEastAsia" w:hAnsiTheme="minorEastAsia" w:eastAsiaTheme="minorEastAsia" w:cstheme="minorEastAsia"/>
          <w:b/>
          <w:color w:val="000000" w:themeColor="text1"/>
          <w:kern w:val="0"/>
          <w:szCs w:val="21"/>
          <w:highlight w:val="none"/>
          <w14:textFill>
            <w14:solidFill>
              <w14:schemeClr w14:val="tx1"/>
            </w14:solidFill>
          </w14:textFill>
        </w:rPr>
        <w:t>后密封递交</w:t>
      </w: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磋商小组。</w:t>
      </w:r>
    </w:p>
    <w:p w14:paraId="38F35A02">
      <w:pPr>
        <w:widowControl/>
        <w:tabs>
          <w:tab w:val="left" w:pos="540"/>
        </w:tabs>
        <w:spacing w:line="360" w:lineRule="exact"/>
        <w:ind w:firstLine="44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磋商小组根据综合评分情况，按照评审得分由高到低顺序推荐3名成交候选供应商，并编写评审报告。市场竞争不充分的科研项目，以及需要扶持的科技成果转化项目，可以推荐2家成交候选供应商。评审得分相同的，按照最后报价由低到高的顺序推荐。评审得分且最后报价相同的，按照技术指标优劣顺序推荐。最后报价是供应商竞争性磋商响应文件的有效组成部分。</w:t>
      </w:r>
    </w:p>
    <w:p w14:paraId="4D33D683">
      <w:pPr>
        <w:widowControl/>
        <w:tabs>
          <w:tab w:val="left" w:pos="540"/>
        </w:tabs>
        <w:spacing w:line="360" w:lineRule="exact"/>
        <w:ind w:firstLine="44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0AAC68EF">
      <w:pPr>
        <w:widowControl/>
        <w:tabs>
          <w:tab w:val="left" w:pos="540"/>
        </w:tabs>
        <w:spacing w:line="360" w:lineRule="exact"/>
        <w:ind w:firstLine="44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.5供应商的报价均超过了采购预算，采购人不能支付的，磋商活动终止。</w:t>
      </w:r>
    </w:p>
    <w:p w14:paraId="609D2064">
      <w:pPr>
        <w:widowControl/>
        <w:tabs>
          <w:tab w:val="left" w:pos="540"/>
        </w:tabs>
        <w:spacing w:line="360" w:lineRule="exact"/>
        <w:ind w:firstLine="440" w:firstLineChars="200"/>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highlight w:val="none"/>
          <w14:textFill>
            <w14:solidFill>
              <w14:schemeClr w14:val="tx1"/>
            </w14:solidFill>
          </w14:textFill>
        </w:rPr>
        <w:t>.6本采购项目的评审依据为竞争性磋商文件和竞争性磋商响应文件，采用的评审方法为综合评分法。</w:t>
      </w:r>
    </w:p>
    <w:p w14:paraId="748ACEFA">
      <w:pPr>
        <w:widowControl/>
        <w:tabs>
          <w:tab w:val="left" w:pos="540"/>
        </w:tabs>
        <w:spacing w:line="360" w:lineRule="exact"/>
        <w:ind w:firstLine="44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.7已提交响应文件的供应商，在提交最后报价之前，可以根据磋商情况退出磋商。采购人、采购代理机构应当退还退出磋商的供应商的磋商保证金。</w:t>
      </w:r>
    </w:p>
    <w:p w14:paraId="5E0A8020">
      <w:pPr>
        <w:widowControl/>
        <w:tabs>
          <w:tab w:val="left" w:pos="540"/>
        </w:tabs>
        <w:spacing w:line="360" w:lineRule="exact"/>
        <w:ind w:firstLine="44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.8错误修正</w:t>
      </w:r>
    </w:p>
    <w:p w14:paraId="33D96D5A">
      <w:pPr>
        <w:widowControl/>
        <w:tabs>
          <w:tab w:val="left" w:pos="540"/>
        </w:tabs>
        <w:spacing w:line="360" w:lineRule="exact"/>
        <w:ind w:firstLine="44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竞争性磋商响应文件如果出现计算或表达上的错误，修正错误的原则如下：</w:t>
      </w:r>
    </w:p>
    <w:p w14:paraId="0A3E9BB5">
      <w:pPr>
        <w:widowControl/>
        <w:tabs>
          <w:tab w:val="left" w:pos="540"/>
        </w:tabs>
        <w:spacing w:line="360" w:lineRule="exact"/>
        <w:ind w:firstLine="44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（1）大写金额和小写金额不一致的，以大写金额为准；</w:t>
      </w:r>
    </w:p>
    <w:p w14:paraId="0244B384">
      <w:pPr>
        <w:widowControl/>
        <w:tabs>
          <w:tab w:val="left" w:pos="540"/>
        </w:tabs>
        <w:spacing w:line="360" w:lineRule="exact"/>
        <w:ind w:firstLine="44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（2）总价金额与按单价汇总金额不一致的，以单价金额计算结果为准；</w:t>
      </w:r>
    </w:p>
    <w:p w14:paraId="73DAF718">
      <w:pPr>
        <w:widowControl/>
        <w:tabs>
          <w:tab w:val="left" w:pos="540"/>
        </w:tabs>
        <w:spacing w:line="360" w:lineRule="exact"/>
        <w:ind w:firstLine="44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（3）对不同文字文本竞争性磋商响应文件的解释发生异议的，以中文文本为准。</w:t>
      </w:r>
    </w:p>
    <w:p w14:paraId="145B3480">
      <w:pPr>
        <w:widowControl/>
        <w:tabs>
          <w:tab w:val="left" w:pos="540"/>
        </w:tabs>
        <w:spacing w:line="360" w:lineRule="exact"/>
        <w:ind w:firstLine="44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同时出现两种以上不一致的，按照前款规定的顺序修正。修正后的报价经供应商确认后产生约束力，供应商不确认的，其磋商无效。</w:t>
      </w:r>
    </w:p>
    <w:p w14:paraId="7C7C4186">
      <w:pPr>
        <w:widowControl/>
        <w:tabs>
          <w:tab w:val="left" w:pos="540"/>
        </w:tabs>
        <w:spacing w:line="360" w:lineRule="exact"/>
        <w:ind w:firstLine="440" w:firstLineChars="200"/>
        <w:jc w:val="left"/>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经供应商确认修正后的首次及最后报价若超过采购预算金额，供应商的响应文件作无效处理。</w:t>
      </w:r>
    </w:p>
    <w:p w14:paraId="49DD920D">
      <w:pPr>
        <w:widowControl/>
        <w:tabs>
          <w:tab w:val="left" w:pos="540"/>
        </w:tabs>
        <w:spacing w:line="360" w:lineRule="exact"/>
        <w:ind w:firstLine="440" w:firstLineChars="200"/>
        <w:jc w:val="left"/>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经供应商确认修正后的最后报价作为评审及签订合同的依据。</w:t>
      </w:r>
    </w:p>
    <w:p w14:paraId="331E2946">
      <w:pPr>
        <w:widowControl/>
        <w:tabs>
          <w:tab w:val="left" w:pos="540"/>
        </w:tabs>
        <w:spacing w:line="360" w:lineRule="exact"/>
        <w:ind w:firstLine="44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.9评委表决</w:t>
      </w:r>
    </w:p>
    <w:p w14:paraId="5A9384FF">
      <w:pPr>
        <w:widowControl/>
        <w:tabs>
          <w:tab w:val="left" w:pos="540"/>
        </w:tabs>
        <w:spacing w:line="360" w:lineRule="exact"/>
        <w:ind w:firstLine="44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在评标过程中出现法律法规和采购文件均没有明确规定的情形时，由磋商小组现场协商解决，协商不一致的，由全体评委投票表决，以得票率二分之一以上专家的意见为准。</w:t>
      </w:r>
    </w:p>
    <w:p w14:paraId="33294646">
      <w:pPr>
        <w:widowControl/>
        <w:tabs>
          <w:tab w:val="left" w:pos="540"/>
        </w:tabs>
        <w:spacing w:line="360" w:lineRule="exact"/>
        <w:ind w:firstLine="44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.10评审过程的监控</w:t>
      </w:r>
    </w:p>
    <w:p w14:paraId="308BF137">
      <w:pPr>
        <w:widowControl/>
        <w:tabs>
          <w:tab w:val="left" w:pos="540"/>
        </w:tabs>
        <w:spacing w:line="360" w:lineRule="exact"/>
        <w:ind w:firstLine="44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本项目评审过程实行全程录音、录像监控，供应商在评审过程中所进行的试图影响评审结果的不公正活动，可能导致其竞争性磋商被拒绝。</w:t>
      </w:r>
    </w:p>
    <w:p w14:paraId="15CF5F65">
      <w:pPr>
        <w:spacing w:line="360" w:lineRule="exact"/>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1"/>
          <w:highlight w:val="none"/>
          <w:lang w:val="en-US" w:eastAsia="zh-CN"/>
          <w14:textFill>
            <w14:solidFill>
              <w14:schemeClr w14:val="tx1"/>
            </w14:solidFill>
          </w14:textFill>
        </w:rPr>
        <w:t>五</w:t>
      </w: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、确定成交供应商办法</w:t>
      </w:r>
    </w:p>
    <w:p w14:paraId="6117192F">
      <w:pPr>
        <w:widowControl/>
        <w:tabs>
          <w:tab w:val="left" w:pos="540"/>
        </w:tabs>
        <w:spacing w:line="360" w:lineRule="exact"/>
        <w:ind w:firstLine="44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.1 </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根据以下原则确定成交供应商：</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响应文件满足磋商文件全部实质性要求且按评审因素的量化指标评审得分最高的供应商为成交供应商。</w:t>
      </w:r>
    </w:p>
    <w:p w14:paraId="0F97E16C">
      <w:pPr>
        <w:spacing w:line="360" w:lineRule="exact"/>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1"/>
          <w:highlight w:val="none"/>
          <w:lang w:val="en-US" w:eastAsia="zh-CN"/>
          <w14:textFill>
            <w14:solidFill>
              <w14:schemeClr w14:val="tx1"/>
            </w14:solidFill>
          </w14:textFill>
        </w:rPr>
        <w:t>六</w:t>
      </w: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、评标结果</w:t>
      </w:r>
    </w:p>
    <w:p w14:paraId="64036BD9">
      <w:pPr>
        <w:widowControl/>
        <w:tabs>
          <w:tab w:val="left" w:pos="540"/>
        </w:tabs>
        <w:spacing w:line="360" w:lineRule="exact"/>
        <w:ind w:firstLine="44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.1采购代理机构将在评标结束后两个工作日内将评标报告送采购人，采购人在五个工作日内按照评标报告中推荐的成交候选人顺序确定成交人。采购人也可以事先授权磋商小组直接确定成交人。</w:t>
      </w:r>
    </w:p>
    <w:p w14:paraId="30826AFE">
      <w:pPr>
        <w:widowControl/>
        <w:tabs>
          <w:tab w:val="left" w:pos="540"/>
        </w:tabs>
        <w:spacing w:line="360" w:lineRule="exact"/>
        <w:ind w:firstLine="44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.2成交供应商确定后，</w:t>
      </w:r>
      <w:r>
        <w:rPr>
          <w:rFonts w:hint="eastAsia" w:asciiTheme="minorEastAsia" w:hAnsiTheme="minorEastAsia" w:eastAsiaTheme="minorEastAsia" w:cstheme="minorEastAsia"/>
          <w:color w:val="000000" w:themeColor="text1"/>
          <w:highlight w:val="none"/>
          <w14:textFill>
            <w14:solidFill>
              <w14:schemeClr w14:val="tx1"/>
            </w14:solidFill>
          </w14:textFill>
        </w:rPr>
        <w:t>采购代理机构在</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招标公告同一媒介</w:t>
      </w:r>
      <w:r>
        <w:rPr>
          <w:rFonts w:hint="eastAsia" w:asciiTheme="minorEastAsia" w:hAnsiTheme="minorEastAsia" w:eastAsiaTheme="minorEastAsia" w:cstheme="minorEastAsia"/>
          <w:color w:val="000000" w:themeColor="text1"/>
          <w:highlight w:val="none"/>
          <w14:textFill>
            <w14:solidFill>
              <w14:schemeClr w14:val="tx1"/>
            </w14:solidFill>
          </w14:textFill>
        </w:rPr>
        <w:t>上发布成交公告；如其被列入失信被执行人、重大税收违法案件当事人名单、政府采购严重违法失信行为记录名单，则取消其成交资格，</w:t>
      </w:r>
      <w:r>
        <w:rPr>
          <w:rFonts w:hint="eastAsia" w:asciiTheme="minorEastAsia" w:hAnsiTheme="minorEastAsia" w:eastAsiaTheme="minorEastAsia" w:cstheme="minorEastAsia"/>
          <w:color w:val="000000" w:themeColor="text1"/>
          <w:spacing w:val="-3"/>
          <w:highlight w:val="none"/>
          <w14:textFill>
            <w14:solidFill>
              <w14:schemeClr w14:val="tx1"/>
            </w14:solidFill>
          </w14:textFill>
        </w:rPr>
        <w:t>并确定排名第二的成交候选人为成交人。排名第二的成交候选人因前款规定的同样原因被取消成交资格的，采购人可以确定排名第三的成交候选人为成交人。以上信息查询记</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录及相关证据与采购文件一并保存。</w:t>
      </w:r>
    </w:p>
    <w:p w14:paraId="10901517">
      <w:pPr>
        <w:widowControl/>
        <w:tabs>
          <w:tab w:val="left" w:pos="540"/>
        </w:tabs>
        <w:spacing w:line="360" w:lineRule="exact"/>
        <w:ind w:firstLine="44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.3</w:t>
      </w:r>
      <w:r>
        <w:rPr>
          <w:rFonts w:hint="eastAsia" w:asciiTheme="minorEastAsia" w:hAnsiTheme="minorEastAsia" w:eastAsiaTheme="minorEastAsia" w:cstheme="minorEastAsia"/>
          <w:color w:val="000000" w:themeColor="text1"/>
          <w:highlight w:val="none"/>
          <w14:textFill>
            <w14:solidFill>
              <w14:schemeClr w14:val="tx1"/>
            </w14:solidFill>
          </w14:textFill>
        </w:rPr>
        <w:t>在发布成交公告的同时，采购代理机构向成交供应商发出成交通知书。</w:t>
      </w:r>
    </w:p>
    <w:p w14:paraId="66AD58E8">
      <w:pPr>
        <w:widowControl/>
        <w:tabs>
          <w:tab w:val="left" w:pos="540"/>
        </w:tabs>
        <w:spacing w:line="360" w:lineRule="exact"/>
        <w:ind w:firstLine="44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.4</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供应商</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认为竞争性磋商采购文件、招标过程和成交结果使自己的权益受到损害的，可以在知道或者应知其权益受到损害之日起七个工作日内，以书面形式向招标采购单位提出质疑，并及时索要书面回执。</w:t>
      </w:r>
    </w:p>
    <w:p w14:paraId="2D81EB70">
      <w:pPr>
        <w:widowControl/>
        <w:tabs>
          <w:tab w:val="left" w:pos="540"/>
        </w:tabs>
        <w:spacing w:line="360" w:lineRule="exact"/>
        <w:ind w:firstLine="44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.5采购代理机构应当按照有关规定就采购人委托授权范围内的事项在收到供应商的书面质疑后七个工作日内做出答复，但答复的内容不得涉及商业秘密。</w:t>
      </w:r>
    </w:p>
    <w:p w14:paraId="3D6A9E50">
      <w:pPr>
        <w:spacing w:line="360" w:lineRule="exact"/>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1"/>
          <w:highlight w:val="none"/>
          <w:lang w:val="en-US" w:eastAsia="zh-CN"/>
          <w14:textFill>
            <w14:solidFill>
              <w14:schemeClr w14:val="tx1"/>
            </w14:solidFill>
          </w14:textFill>
        </w:rPr>
        <w:t>七</w:t>
      </w: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、签订合同</w:t>
      </w:r>
    </w:p>
    <w:p w14:paraId="6C7B6BA5">
      <w:pPr>
        <w:widowControl/>
        <w:tabs>
          <w:tab w:val="left" w:pos="540"/>
        </w:tabs>
        <w:spacing w:line="360" w:lineRule="exact"/>
        <w:ind w:firstLine="44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成交供应商应在成交通知书发出之日起</w:t>
      </w:r>
      <w:r>
        <w:rPr>
          <w:rFonts w:hint="eastAsia" w:asciiTheme="minorEastAsia" w:hAnsiTheme="minorEastAsia" w:eastAsiaTheme="minorEastAsia" w:cstheme="minorEastAsia"/>
          <w:bCs/>
          <w:color w:val="000000" w:themeColor="text1"/>
          <w:szCs w:val="21"/>
          <w:highlight w:val="none"/>
          <w:lang w:val="en-US" w:eastAsia="zh-CN"/>
          <w14:textFill>
            <w14:solidFill>
              <w14:schemeClr w14:val="tx1"/>
            </w14:solidFill>
          </w14:textFill>
        </w:rPr>
        <w:t>三十</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日内，按磋商文件确定的合同文本及采购标的、采购金额、采购数量、技术和服务要求等事项与采购人签订采购合同。</w:t>
      </w:r>
    </w:p>
    <w:p w14:paraId="1C966939">
      <w:pPr>
        <w:widowControl/>
        <w:tabs>
          <w:tab w:val="left" w:pos="540"/>
        </w:tabs>
        <w:spacing w:line="360" w:lineRule="exact"/>
        <w:ind w:firstLine="44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.2如</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成交</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人不按成交通知书的规定签订合同，则按成交人违约处理，采购代理机构将没收成交人投标的全部磋商保证金并上缴</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采购人</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p w14:paraId="10959396">
      <w:pPr>
        <w:widowControl/>
        <w:tabs>
          <w:tab w:val="left" w:pos="540"/>
        </w:tabs>
        <w:spacing w:line="360" w:lineRule="exact"/>
        <w:ind w:firstLine="44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.3成交人拒绝签订采购合同或者因不可抗力或自身原因不能履行采购合同的，采购人可以按照本须知第</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.1项规定的原则确定其他供应商作为成交供应商并签订采购合同，也可以重新开展采购活动。拒绝签订采购合同的成交供应商不得参加对该项目重新开展的采购活动。</w:t>
      </w:r>
    </w:p>
    <w:p w14:paraId="2B04C7E4">
      <w:pPr>
        <w:widowControl/>
        <w:tabs>
          <w:tab w:val="left" w:pos="540"/>
        </w:tabs>
        <w:spacing w:line="360" w:lineRule="exact"/>
        <w:ind w:firstLine="44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.4采购合同存档：采购合同双方自签订之日起两个工作日内将合同原件</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壹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份交采购代理机构存档。</w:t>
      </w:r>
    </w:p>
    <w:p w14:paraId="3C777A14">
      <w:pPr>
        <w:pStyle w:val="14"/>
        <w:spacing w:line="360" w:lineRule="exact"/>
        <w:rPr>
          <w:rFonts w:hint="eastAsia" w:asciiTheme="minorEastAsia" w:hAnsiTheme="minorEastAsia" w:eastAsiaTheme="minorEastAsia" w:cstheme="minorEastAsia"/>
          <w:b/>
          <w:color w:val="000000" w:themeColor="text1"/>
          <w:kern w:val="2"/>
          <w:sz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2"/>
          <w:sz w:val="21"/>
          <w:highlight w:val="none"/>
          <w:lang w:val="en-US" w:eastAsia="zh-CN"/>
          <w14:textFill>
            <w14:solidFill>
              <w14:schemeClr w14:val="tx1"/>
            </w14:solidFill>
          </w14:textFill>
        </w:rPr>
        <w:t>八</w:t>
      </w:r>
      <w:r>
        <w:rPr>
          <w:rFonts w:hint="eastAsia" w:asciiTheme="minorEastAsia" w:hAnsiTheme="minorEastAsia" w:eastAsiaTheme="minorEastAsia" w:cstheme="minorEastAsia"/>
          <w:b/>
          <w:color w:val="000000" w:themeColor="text1"/>
          <w:kern w:val="2"/>
          <w:sz w:val="21"/>
          <w:highlight w:val="none"/>
          <w14:textFill>
            <w14:solidFill>
              <w14:schemeClr w14:val="tx1"/>
            </w14:solidFill>
          </w14:textFill>
        </w:rPr>
        <w:t>、质疑和投诉</w:t>
      </w:r>
    </w:p>
    <w:p w14:paraId="3942C68C">
      <w:pPr>
        <w:widowControl/>
        <w:tabs>
          <w:tab w:val="left" w:pos="540"/>
        </w:tabs>
        <w:spacing w:line="360" w:lineRule="exact"/>
        <w:ind w:firstLine="440" w:firstLineChars="200"/>
        <w:jc w:val="left"/>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lang w:val="en-US" w:eastAsia="zh-CN"/>
          <w14:textFill>
            <w14:solidFill>
              <w14:schemeClr w14:val="tx1"/>
            </w14:solidFill>
          </w14:textFill>
        </w:rPr>
        <w:t>8</w:t>
      </w:r>
      <w:r>
        <w:rPr>
          <w:rFonts w:hint="eastAsia" w:asciiTheme="minorEastAsia" w:hAnsiTheme="minorEastAsia" w:eastAsiaTheme="minorEastAsia" w:cstheme="minorEastAsia"/>
          <w:bCs/>
          <w:color w:val="000000" w:themeColor="text1"/>
          <w:highlight w:val="none"/>
          <w14:textFill>
            <w14:solidFill>
              <w14:schemeClr w14:val="tx1"/>
            </w14:solidFill>
          </w14:textFill>
        </w:rPr>
        <w:t>.1</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供应商</w:t>
      </w:r>
      <w:r>
        <w:rPr>
          <w:rFonts w:hint="eastAsia" w:asciiTheme="minorEastAsia" w:hAnsiTheme="minorEastAsia" w:eastAsiaTheme="minorEastAsia" w:cstheme="minorEastAsia"/>
          <w:bCs/>
          <w:color w:val="000000" w:themeColor="text1"/>
          <w:highlight w:val="none"/>
          <w14:textFill>
            <w14:solidFill>
              <w14:schemeClr w14:val="tx1"/>
            </w14:solidFill>
          </w14:textFill>
        </w:rPr>
        <w:t>认为采购文件、招标过程或</w:t>
      </w:r>
      <w:r>
        <w:rPr>
          <w:rFonts w:hint="eastAsia" w:asciiTheme="minorEastAsia" w:hAnsiTheme="minorEastAsia" w:eastAsiaTheme="minorEastAsia" w:cstheme="minorEastAsia"/>
          <w:bCs/>
          <w:color w:val="000000" w:themeColor="text1"/>
          <w:highlight w:val="none"/>
          <w:lang w:val="en-US" w:eastAsia="zh-CN"/>
          <w14:textFill>
            <w14:solidFill>
              <w14:schemeClr w14:val="tx1"/>
            </w14:solidFill>
          </w14:textFill>
        </w:rPr>
        <w:t>成交</w:t>
      </w:r>
      <w:r>
        <w:rPr>
          <w:rFonts w:hint="eastAsia" w:asciiTheme="minorEastAsia" w:hAnsiTheme="minorEastAsia" w:eastAsiaTheme="minorEastAsia" w:cstheme="minorEastAsia"/>
          <w:bCs/>
          <w:color w:val="000000" w:themeColor="text1"/>
          <w:highlight w:val="none"/>
          <w14:textFill>
            <w14:solidFill>
              <w14:schemeClr w14:val="tx1"/>
            </w14:solidFill>
          </w14:textFill>
        </w:rPr>
        <w:t>结果使自己的合法权益受到损害的，应当在知道或者应知其权益受到损害之日起七个工作日内，以书面形式向采购人、采购代理机构提出质疑。</w:t>
      </w:r>
      <w:r>
        <w:rPr>
          <w:rFonts w:hint="eastAsia" w:asciiTheme="minorEastAsia" w:hAnsiTheme="minorEastAsia" w:eastAsiaTheme="minorEastAsia" w:cstheme="minorEastAsia"/>
          <w:color w:val="000000" w:themeColor="text1"/>
          <w:highlight w:val="none"/>
          <w14:textFill>
            <w14:solidFill>
              <w14:schemeClr w14:val="tx1"/>
            </w14:solidFill>
          </w14:textFill>
        </w:rPr>
        <w:t>供应商对招标采购单位的质疑答复不满意或者招标采购单位未在规定时间内作出答复的，可以在答复期满后十五个工作日内向采购监管部门投诉。</w:t>
      </w:r>
    </w:p>
    <w:p w14:paraId="05ECBA3A">
      <w:pPr>
        <w:widowControl/>
        <w:tabs>
          <w:tab w:val="left" w:pos="540"/>
        </w:tabs>
        <w:spacing w:line="360" w:lineRule="exact"/>
        <w:ind w:firstLine="440" w:firstLineChars="200"/>
        <w:jc w:val="left"/>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lang w:val="en-US" w:eastAsia="zh-CN"/>
          <w14:textFill>
            <w14:solidFill>
              <w14:schemeClr w14:val="tx1"/>
            </w14:solidFill>
          </w14:textFill>
        </w:rPr>
        <w:t>8</w:t>
      </w:r>
      <w:r>
        <w:rPr>
          <w:rFonts w:hint="eastAsia" w:asciiTheme="minorEastAsia" w:hAnsiTheme="minorEastAsia" w:eastAsiaTheme="minorEastAsia" w:cstheme="minorEastAsia"/>
          <w:bCs/>
          <w:color w:val="000000" w:themeColor="text1"/>
          <w:highlight w:val="none"/>
          <w14:textFill>
            <w14:solidFill>
              <w14:schemeClr w14:val="tx1"/>
            </w14:solidFill>
          </w14:textFill>
        </w:rPr>
        <w:t>.2质疑、投诉应当采用书面形式，质疑书、投诉书均应明确阐述采购文件、招标过程或中标结果中使自己合法权益受到损害的实质性内容，提供相关事实、依据和证据及其来源或线索，便于有关单位调查、答复和处理。</w:t>
      </w:r>
      <w:bookmarkStart w:id="48" w:name="_Toc97370512"/>
      <w:bookmarkStart w:id="49" w:name="_Toc139774543"/>
      <w:bookmarkStart w:id="50" w:name="_Toc97376589"/>
      <w:bookmarkStart w:id="51" w:name="_Toc109205409"/>
      <w:bookmarkStart w:id="52" w:name="_Toc97353125"/>
      <w:bookmarkStart w:id="53" w:name="_Toc97352470"/>
    </w:p>
    <w:p w14:paraId="140C7A30">
      <w:pPr>
        <w:widowControl/>
        <w:tabs>
          <w:tab w:val="left" w:pos="540"/>
        </w:tabs>
        <w:spacing w:line="360" w:lineRule="exact"/>
        <w:ind w:firstLine="440" w:firstLineChars="200"/>
        <w:jc w:val="left"/>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lang w:val="en-US" w:eastAsia="zh-CN"/>
          <w14:textFill>
            <w14:solidFill>
              <w14:schemeClr w14:val="tx1"/>
            </w14:solidFill>
          </w14:textFill>
        </w:rPr>
        <w:t>8</w:t>
      </w:r>
      <w:r>
        <w:rPr>
          <w:rFonts w:hint="eastAsia" w:asciiTheme="minorEastAsia" w:hAnsiTheme="minorEastAsia" w:eastAsiaTheme="minorEastAsia" w:cstheme="minorEastAsia"/>
          <w:bCs/>
          <w:color w:val="000000" w:themeColor="text1"/>
          <w:highlight w:val="none"/>
          <w14:textFill>
            <w14:solidFill>
              <w14:schemeClr w14:val="tx1"/>
            </w14:solidFill>
          </w14:textFill>
        </w:rPr>
        <w:t>.3质疑书面要求</w:t>
      </w:r>
      <w:bookmarkEnd w:id="48"/>
      <w:bookmarkEnd w:id="49"/>
      <w:bookmarkEnd w:id="50"/>
      <w:bookmarkEnd w:id="51"/>
      <w:bookmarkEnd w:id="52"/>
      <w:bookmarkEnd w:id="53"/>
    </w:p>
    <w:p w14:paraId="229522DF">
      <w:pPr>
        <w:pStyle w:val="14"/>
        <w:spacing w:line="360" w:lineRule="exact"/>
        <w:ind w:firstLine="420" w:firstLineChars="200"/>
        <w:rPr>
          <w:rFonts w:hint="eastAsia" w:asciiTheme="minorEastAsia" w:hAnsiTheme="minorEastAsia" w:eastAsiaTheme="minorEastAsia" w:cstheme="minorEastAsia"/>
          <w:bCs/>
          <w:color w:val="000000" w:themeColor="text1"/>
          <w:sz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highlight w:val="none"/>
          <w14:textFill>
            <w14:solidFill>
              <w14:schemeClr w14:val="tx1"/>
            </w14:solidFill>
          </w14:textFill>
        </w:rPr>
        <w:t>质疑人或投诉人提供的书面材料（如材料中有外文资料须同时附上中文译本）至少包括以下内容：</w:t>
      </w:r>
    </w:p>
    <w:p w14:paraId="5E980D63">
      <w:pPr>
        <w:pStyle w:val="14"/>
        <w:numPr>
          <w:ilvl w:val="0"/>
          <w:numId w:val="5"/>
        </w:numPr>
        <w:spacing w:line="360" w:lineRule="exact"/>
        <w:rPr>
          <w:rFonts w:hint="eastAsia" w:asciiTheme="minorEastAsia" w:hAnsiTheme="minorEastAsia" w:eastAsiaTheme="minorEastAsia" w:cstheme="minorEastAsia"/>
          <w:bCs/>
          <w:color w:val="000000" w:themeColor="text1"/>
          <w:sz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highlight w:val="none"/>
          <w14:textFill>
            <w14:solidFill>
              <w14:schemeClr w14:val="tx1"/>
            </w14:solidFill>
          </w14:textFill>
        </w:rPr>
        <w:t>质疑人或投诉人的姓名或者名称、地址、邮编、联系人及联系电话；</w:t>
      </w:r>
    </w:p>
    <w:p w14:paraId="5BB80293">
      <w:pPr>
        <w:pStyle w:val="14"/>
        <w:numPr>
          <w:ilvl w:val="0"/>
          <w:numId w:val="5"/>
        </w:numPr>
        <w:spacing w:line="360" w:lineRule="exact"/>
        <w:rPr>
          <w:rFonts w:hint="eastAsia" w:asciiTheme="minorEastAsia" w:hAnsiTheme="minorEastAsia" w:eastAsiaTheme="minorEastAsia" w:cstheme="minorEastAsia"/>
          <w:bCs/>
          <w:color w:val="000000" w:themeColor="text1"/>
          <w:sz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highlight w:val="none"/>
          <w14:textFill>
            <w14:solidFill>
              <w14:schemeClr w14:val="tx1"/>
            </w14:solidFill>
          </w14:textFill>
        </w:rPr>
        <w:t>质疑项目的名称、编号；</w:t>
      </w:r>
    </w:p>
    <w:p w14:paraId="627BB338">
      <w:pPr>
        <w:pStyle w:val="14"/>
        <w:numPr>
          <w:ilvl w:val="0"/>
          <w:numId w:val="5"/>
        </w:numPr>
        <w:spacing w:line="360" w:lineRule="exact"/>
        <w:rPr>
          <w:rFonts w:hint="eastAsia" w:asciiTheme="minorEastAsia" w:hAnsiTheme="minorEastAsia" w:eastAsiaTheme="minorEastAsia" w:cstheme="minorEastAsia"/>
          <w:bCs/>
          <w:color w:val="000000" w:themeColor="text1"/>
          <w:sz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highlight w:val="none"/>
          <w14:textFill>
            <w14:solidFill>
              <w14:schemeClr w14:val="tx1"/>
            </w14:solidFill>
          </w14:textFill>
        </w:rPr>
        <w:t>具体、明确的质疑事项和与质疑事项相关的请求；</w:t>
      </w:r>
    </w:p>
    <w:p w14:paraId="2261B7BE">
      <w:pPr>
        <w:pStyle w:val="14"/>
        <w:numPr>
          <w:ilvl w:val="0"/>
          <w:numId w:val="5"/>
        </w:numPr>
        <w:spacing w:line="360" w:lineRule="exact"/>
        <w:rPr>
          <w:rFonts w:hint="eastAsia" w:asciiTheme="minorEastAsia" w:hAnsiTheme="minorEastAsia" w:eastAsiaTheme="minorEastAsia" w:cstheme="minorEastAsia"/>
          <w:bCs/>
          <w:color w:val="000000" w:themeColor="text1"/>
          <w:sz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highlight w:val="none"/>
          <w14:textFill>
            <w14:solidFill>
              <w14:schemeClr w14:val="tx1"/>
            </w14:solidFill>
          </w14:textFill>
        </w:rPr>
        <w:t>事实依据；</w:t>
      </w:r>
    </w:p>
    <w:p w14:paraId="73C82960">
      <w:pPr>
        <w:pStyle w:val="14"/>
        <w:numPr>
          <w:ilvl w:val="0"/>
          <w:numId w:val="5"/>
        </w:numPr>
        <w:spacing w:line="360" w:lineRule="exact"/>
        <w:rPr>
          <w:rFonts w:hint="eastAsia" w:asciiTheme="minorEastAsia" w:hAnsiTheme="minorEastAsia" w:eastAsiaTheme="minorEastAsia" w:cstheme="minorEastAsia"/>
          <w:bCs/>
          <w:color w:val="000000" w:themeColor="text1"/>
          <w:sz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highlight w:val="none"/>
          <w14:textFill>
            <w14:solidFill>
              <w14:schemeClr w14:val="tx1"/>
            </w14:solidFill>
          </w14:textFill>
        </w:rPr>
        <w:t>必要的法律依据；</w:t>
      </w:r>
    </w:p>
    <w:p w14:paraId="147DAFA6">
      <w:pPr>
        <w:pStyle w:val="14"/>
        <w:numPr>
          <w:ilvl w:val="0"/>
          <w:numId w:val="5"/>
        </w:numPr>
        <w:spacing w:line="360" w:lineRule="exact"/>
        <w:rPr>
          <w:rFonts w:hint="eastAsia" w:asciiTheme="minorEastAsia" w:hAnsiTheme="minorEastAsia" w:eastAsiaTheme="minorEastAsia" w:cstheme="minorEastAsia"/>
          <w:bCs/>
          <w:color w:val="000000" w:themeColor="text1"/>
          <w:sz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highlight w:val="none"/>
          <w14:textFill>
            <w14:solidFill>
              <w14:schemeClr w14:val="tx1"/>
            </w14:solidFill>
          </w14:textFill>
        </w:rPr>
        <w:t>质疑人或投诉人的签章及质疑或投诉时间；</w:t>
      </w:r>
    </w:p>
    <w:p w14:paraId="4BAC9651">
      <w:pPr>
        <w:pStyle w:val="14"/>
        <w:numPr>
          <w:ilvl w:val="0"/>
          <w:numId w:val="5"/>
        </w:numPr>
        <w:spacing w:line="360" w:lineRule="exact"/>
        <w:rPr>
          <w:rFonts w:hint="eastAsia" w:asciiTheme="minorEastAsia" w:hAnsiTheme="minorEastAsia" w:eastAsiaTheme="minorEastAsia" w:cstheme="minorEastAsia"/>
          <w:bCs/>
          <w:color w:val="000000" w:themeColor="text1"/>
          <w:sz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highlight w:val="none"/>
          <w14:textFill>
            <w14:solidFill>
              <w14:schemeClr w14:val="tx1"/>
            </w14:solidFill>
          </w14:textFill>
        </w:rPr>
        <w:t>质疑或投诉的书面材料须提供法定代表人签名和加盖单位公章的原件。</w:t>
      </w:r>
    </w:p>
    <w:p w14:paraId="13DF7678">
      <w:pPr>
        <w:pStyle w:val="14"/>
        <w:numPr>
          <w:ilvl w:val="0"/>
          <w:numId w:val="5"/>
        </w:numPr>
        <w:spacing w:line="360" w:lineRule="exact"/>
        <w:rPr>
          <w:rFonts w:hint="eastAsia" w:asciiTheme="minorEastAsia" w:hAnsiTheme="minorEastAsia" w:eastAsiaTheme="minorEastAsia" w:cstheme="minorEastAsia"/>
          <w:bCs/>
          <w:color w:val="000000" w:themeColor="text1"/>
          <w:sz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highlight w:val="none"/>
          <w14:textFill>
            <w14:solidFill>
              <w14:schemeClr w14:val="tx1"/>
            </w14:solidFill>
          </w14:textFill>
        </w:rPr>
        <w:t>质疑人须一次性提出针对同一采购程序环节的质疑。</w:t>
      </w:r>
    </w:p>
    <w:p w14:paraId="76A2F36C">
      <w:pPr>
        <w:pStyle w:val="14"/>
        <w:numPr>
          <w:ilvl w:val="0"/>
          <w:numId w:val="5"/>
        </w:numPr>
        <w:spacing w:line="360" w:lineRule="exact"/>
        <w:rPr>
          <w:rFonts w:hint="eastAsia" w:asciiTheme="minorEastAsia" w:hAnsiTheme="minorEastAsia" w:eastAsiaTheme="minorEastAsia" w:cstheme="minorEastAsia"/>
          <w:color w:val="000000" w:themeColor="text1"/>
          <w:sz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highlight w:val="none"/>
          <w14:textFill>
            <w14:solidFill>
              <w14:schemeClr w14:val="tx1"/>
            </w14:solidFill>
          </w14:textFill>
        </w:rPr>
        <w:t>如质疑或投诉委托代理人办理时，须提供质疑人的授权委托书，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67D08F6F">
      <w:pPr>
        <w:pStyle w:val="14"/>
        <w:spacing w:line="360" w:lineRule="exact"/>
        <w:ind w:firstLine="413" w:firstLineChars="196"/>
        <w:rPr>
          <w:rFonts w:hint="eastAsia" w:asciiTheme="minorEastAsia" w:hAnsiTheme="minorEastAsia" w:eastAsiaTheme="minorEastAsia" w:cstheme="minorEastAsia"/>
          <w:b/>
          <w:bCs/>
          <w:color w:val="000000" w:themeColor="text1"/>
          <w:sz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highlight w:val="none"/>
          <w14:textFill>
            <w14:solidFill>
              <w14:schemeClr w14:val="tx1"/>
            </w14:solidFill>
          </w14:textFill>
        </w:rPr>
        <w:t>未持有有效授权委托书的代理人提交的质疑函或不在法定质疑其内提交的质疑函，将不予受理。</w:t>
      </w:r>
    </w:p>
    <w:p w14:paraId="46EC6AA0">
      <w:pPr>
        <w:widowControl/>
        <w:tabs>
          <w:tab w:val="left" w:pos="540"/>
        </w:tabs>
        <w:spacing w:line="360" w:lineRule="exact"/>
        <w:ind w:firstLine="440" w:firstLineChars="200"/>
        <w:jc w:val="left"/>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lang w:val="en-US" w:eastAsia="zh-CN"/>
          <w14:textFill>
            <w14:solidFill>
              <w14:schemeClr w14:val="tx1"/>
            </w14:solidFill>
          </w14:textFill>
        </w:rPr>
        <w:t>8</w:t>
      </w:r>
      <w:r>
        <w:rPr>
          <w:rFonts w:hint="eastAsia" w:asciiTheme="minorEastAsia" w:hAnsiTheme="minorEastAsia" w:eastAsiaTheme="minorEastAsia" w:cstheme="minorEastAsia"/>
          <w:bCs/>
          <w:color w:val="000000" w:themeColor="text1"/>
          <w:highlight w:val="none"/>
          <w14:textFill>
            <w14:solidFill>
              <w14:schemeClr w14:val="tx1"/>
            </w14:solidFill>
          </w14:textFill>
        </w:rPr>
        <w:t>.4接受</w:t>
      </w:r>
      <w:r>
        <w:rPr>
          <w:rFonts w:hint="eastAsia" w:asciiTheme="minorEastAsia" w:hAnsiTheme="minorEastAsia" w:eastAsiaTheme="minorEastAsia" w:cstheme="minorEastAsia"/>
          <w:color w:val="000000" w:themeColor="text1"/>
          <w:highlight w:val="none"/>
          <w14:textFill>
            <w14:solidFill>
              <w14:schemeClr w14:val="tx1"/>
            </w14:solidFill>
          </w14:textFill>
        </w:rPr>
        <w:t>质疑函的联系方式等详见竞争性磋商公告中采购人、采购代理机构的联系方式。</w:t>
      </w:r>
    </w:p>
    <w:p w14:paraId="2174F5B2">
      <w:pPr>
        <w:spacing w:line="360" w:lineRule="exact"/>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1"/>
          <w:highlight w:val="none"/>
          <w:lang w:val="en-US" w:eastAsia="zh-CN"/>
          <w14:textFill>
            <w14:solidFill>
              <w14:schemeClr w14:val="tx1"/>
            </w14:solidFill>
          </w14:textFill>
        </w:rPr>
        <w:t>九</w:t>
      </w: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、其他事项</w:t>
      </w:r>
    </w:p>
    <w:p w14:paraId="42A7B7A0">
      <w:pPr>
        <w:widowControl/>
        <w:tabs>
          <w:tab w:val="left" w:pos="540"/>
        </w:tabs>
        <w:spacing w:line="360" w:lineRule="exact"/>
        <w:ind w:firstLine="44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成交</w:t>
      </w:r>
      <w:r>
        <w:rPr>
          <w:rFonts w:hint="eastAsia" w:asciiTheme="minorEastAsia" w:hAnsiTheme="minorEastAsia" w:eastAsiaTheme="minorEastAsia" w:cstheme="minorEastAsia"/>
          <w:color w:val="000000" w:themeColor="text1"/>
          <w:highlight w:val="none"/>
          <w14:textFill>
            <w14:solidFill>
              <w14:schemeClr w14:val="tx1"/>
            </w14:solidFill>
          </w14:textFill>
        </w:rPr>
        <w:t>服务费</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以</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成交</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价为计费依据，参照国家发展计划委员会计价格[2002]1980号《招标代理服务收费管理暂行办法》收费标准、国家发展改革委员会办公厅关于招标代理服务收费有关问题的通知（发改办价格[2003]857号）规定</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的</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服务类标准</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向</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成交人</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收取。招标代理业务范围内所发生的费用（如评标专家的劳务费）由</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成交人</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按实际发生支付给</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采购</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代理单位。</w:t>
      </w:r>
    </w:p>
    <w:p w14:paraId="535C544A">
      <w:pPr>
        <w:tabs>
          <w:tab w:val="left" w:pos="2835"/>
        </w:tabs>
        <w:spacing w:line="360" w:lineRule="exac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1"/>
          <w:highlight w:val="none"/>
          <w:lang w:val="en-US" w:eastAsia="zh-CN"/>
          <w14:textFill>
            <w14:solidFill>
              <w14:schemeClr w14:val="tx1"/>
            </w14:solidFill>
          </w14:textFill>
        </w:rPr>
        <w:t>十</w:t>
      </w: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、适用法律</w:t>
      </w:r>
    </w:p>
    <w:p w14:paraId="769C928E">
      <w:pPr>
        <w:widowControl/>
        <w:tabs>
          <w:tab w:val="left" w:pos="540"/>
        </w:tabs>
        <w:spacing w:line="360" w:lineRule="exact"/>
        <w:ind w:firstLine="44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.1采购</w:t>
      </w:r>
      <w:r>
        <w:rPr>
          <w:rFonts w:hint="eastAsia" w:asciiTheme="minorEastAsia" w:hAnsiTheme="minorEastAsia" w:eastAsiaTheme="minorEastAsia" w:cstheme="minorEastAsia"/>
          <w:bCs/>
          <w:color w:val="000000" w:themeColor="text1"/>
          <w:highlight w:val="none"/>
          <w14:textFill>
            <w14:solidFill>
              <w14:schemeClr w14:val="tx1"/>
            </w14:solidFill>
          </w14:textFill>
        </w:rPr>
        <w:t>当事人</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的一切活动均适用于《中华人民共和国政府采购法》、《政府采购竞争性磋商采购方式管理暂行办法》及相关规定。</w:t>
      </w:r>
    </w:p>
    <w:p w14:paraId="305E601F">
      <w:pPr>
        <w:pStyle w:val="14"/>
        <w:spacing w:line="360" w:lineRule="exact"/>
        <w:rPr>
          <w:rFonts w:hint="eastAsia" w:asciiTheme="minorEastAsia" w:hAnsiTheme="minorEastAsia" w:eastAsiaTheme="minorEastAsia" w:cstheme="minorEastAsia"/>
          <w:b/>
          <w:color w:val="000000" w:themeColor="text1"/>
          <w:kern w:val="2"/>
          <w:sz w:val="2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十</w:t>
      </w:r>
      <w:r>
        <w:rPr>
          <w:rFonts w:hint="eastAsia" w:asciiTheme="minorEastAsia" w:hAnsiTheme="minorEastAsia" w:eastAsiaTheme="minorEastAsia" w:cstheme="minorEastAsia"/>
          <w:b/>
          <w:color w:val="000000" w:themeColor="text1"/>
          <w:highlight w:val="none"/>
          <w:lang w:val="en-US" w:eastAsia="zh-CN"/>
          <w14:textFill>
            <w14:solidFill>
              <w14:schemeClr w14:val="tx1"/>
            </w14:solidFill>
          </w14:textFill>
        </w:rPr>
        <w:t>一</w:t>
      </w:r>
      <w:r>
        <w:rPr>
          <w:rFonts w:hint="eastAsia" w:asciiTheme="minorEastAsia" w:hAnsiTheme="minorEastAsia" w:eastAsiaTheme="minorEastAsia" w:cstheme="minorEastAsia"/>
          <w:b/>
          <w:color w:val="000000" w:themeColor="text1"/>
          <w:highlight w:val="none"/>
          <w14:textFill>
            <w14:solidFill>
              <w14:schemeClr w14:val="tx1"/>
            </w14:solidFill>
          </w14:textFill>
        </w:rPr>
        <w:t>、</w:t>
      </w:r>
      <w:r>
        <w:rPr>
          <w:rFonts w:hint="eastAsia" w:asciiTheme="minorEastAsia" w:hAnsiTheme="minorEastAsia" w:eastAsiaTheme="minorEastAsia" w:cstheme="minorEastAsia"/>
          <w:b/>
          <w:color w:val="000000" w:themeColor="text1"/>
          <w:kern w:val="2"/>
          <w:sz w:val="21"/>
          <w:szCs w:val="24"/>
          <w:highlight w:val="none"/>
          <w14:textFill>
            <w14:solidFill>
              <w14:schemeClr w14:val="tx1"/>
            </w14:solidFill>
          </w14:textFill>
        </w:rPr>
        <w:t>供应商信用查询相关规定：</w:t>
      </w:r>
    </w:p>
    <w:p w14:paraId="676F47A6">
      <w:pPr>
        <w:spacing w:line="360" w:lineRule="exact"/>
        <w:ind w:firstLine="420"/>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①信用查询渠道：“信用中国”网站（www.creditchina.gov.cn）、中国政府采购网（www.ccgp.gov.cn）；</w:t>
      </w:r>
    </w:p>
    <w:p w14:paraId="48CFBC34">
      <w:pPr>
        <w:spacing w:line="360" w:lineRule="exact"/>
        <w:ind w:firstLine="420"/>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②信用查询截止时点：</w:t>
      </w:r>
      <w:r>
        <w:rPr>
          <w:rFonts w:hint="eastAsia" w:asciiTheme="minorEastAsia" w:hAnsiTheme="minorEastAsia" w:eastAsiaTheme="minorEastAsia" w:cstheme="minorEastAsia"/>
          <w:color w:val="000000" w:themeColor="text1"/>
          <w:highlight w:val="none"/>
          <w14:textFill>
            <w14:solidFill>
              <w14:schemeClr w14:val="tx1"/>
            </w14:solidFill>
          </w14:textFill>
        </w:rPr>
        <w:t>资格审查时</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w:t>
      </w:r>
    </w:p>
    <w:p w14:paraId="291EFB44">
      <w:pPr>
        <w:spacing w:line="360" w:lineRule="exact"/>
        <w:ind w:firstLine="420"/>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③信用信息查询记录：“列入失信被执行人”、“ 重大税收违法案件当事人名单”、“政府采购严重违法失信行为记录名单”。</w:t>
      </w:r>
    </w:p>
    <w:p w14:paraId="12537AA4">
      <w:pPr>
        <w:spacing w:line="360" w:lineRule="exact"/>
        <w:ind w:firstLine="420"/>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④信用信息的使用规则：如供应商被列入“列入失信被执行人”、 “ 重大税收违法案件当事人名单”、“政府采购严重违法失信行为记录名单”等名单内的，将按照信用信息使用规则处理。</w:t>
      </w:r>
    </w:p>
    <w:p w14:paraId="71D6793C">
      <w:pPr>
        <w:spacing w:line="360" w:lineRule="exact"/>
        <w:ind w:firstLine="420"/>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⑤证据留存方式：以网站截图打印存档做为留存方式。</w:t>
      </w:r>
    </w:p>
    <w:p w14:paraId="06A5958A">
      <w:pPr>
        <w:spacing w:line="360" w:lineRule="auto"/>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sectPr>
          <w:pgSz w:w="12240" w:h="15840"/>
          <w:pgMar w:top="1440" w:right="1800" w:bottom="1440" w:left="1800" w:header="0" w:footer="1136" w:gutter="0"/>
          <w:pgBorders>
            <w:top w:val="none" w:sz="0" w:space="0"/>
            <w:left w:val="none" w:sz="0" w:space="0"/>
            <w:bottom w:val="none" w:sz="0" w:space="0"/>
            <w:right w:val="none" w:sz="0" w:space="0"/>
          </w:pgBorders>
          <w:pgNumType w:fmt="decimal"/>
          <w:cols w:space="720" w:num="1"/>
        </w:sectPr>
      </w:pPr>
    </w:p>
    <w:p w14:paraId="66C6D720">
      <w:pPr>
        <w:pStyle w:val="2"/>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Theme="minorEastAsia" w:hAnsiTheme="minorEastAsia" w:eastAsiaTheme="minorEastAsia" w:cstheme="minorEastAsia"/>
          <w:b w:val="0"/>
          <w:bCs w:val="0"/>
          <w:color w:val="000000" w:themeColor="text1"/>
          <w:highlight w:val="none"/>
          <w:lang w:val="en-US" w:eastAsia="zh-CN"/>
          <w14:textFill>
            <w14:solidFill>
              <w14:schemeClr w14:val="tx1"/>
            </w14:solidFill>
          </w14:textFill>
        </w:rPr>
      </w:pPr>
      <w:bookmarkStart w:id="54" w:name="_bookmark11"/>
      <w:bookmarkEnd w:id="54"/>
      <w:bookmarkStart w:id="55" w:name="第四章_合同主要条款及格式"/>
      <w:bookmarkEnd w:id="55"/>
      <w:bookmarkStart w:id="56" w:name="_Toc29472"/>
      <w:bookmarkStart w:id="57" w:name="_Toc22243"/>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第四章</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合同主要条款及格</w:t>
      </w:r>
      <w:bookmarkEnd w:id="56"/>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式</w:t>
      </w:r>
      <w:bookmarkEnd w:id="57"/>
    </w:p>
    <w:p w14:paraId="5ADA4A0F">
      <w:pPr>
        <w:jc w:val="center"/>
        <w:rPr>
          <w:rFonts w:hint="eastAsia" w:ascii="宋体" w:hAnsi="宋体"/>
          <w:b/>
          <w:bCs/>
          <w:color w:val="auto"/>
          <w:sz w:val="52"/>
          <w:szCs w:val="52"/>
          <w:highlight w:val="none"/>
        </w:rPr>
      </w:pPr>
      <w:r>
        <w:rPr>
          <w:rFonts w:hint="eastAsia" w:ascii="宋体" w:hAnsi="宋体"/>
          <w:b/>
          <w:bCs/>
          <w:color w:val="auto"/>
          <w:sz w:val="52"/>
          <w:szCs w:val="52"/>
          <w:highlight w:val="none"/>
        </w:rPr>
        <w:t>建 设 工 程 勘 察 合 同</w:t>
      </w:r>
    </w:p>
    <w:p w14:paraId="52F9E9B2">
      <w:pPr>
        <w:jc w:val="center"/>
        <w:rPr>
          <w:rFonts w:ascii="宋体" w:hAnsi="宋体"/>
          <w:b/>
          <w:bCs/>
          <w:color w:val="auto"/>
          <w:sz w:val="52"/>
          <w:szCs w:val="52"/>
          <w:highlight w:val="none"/>
        </w:rPr>
      </w:pPr>
    </w:p>
    <w:p w14:paraId="0551A46A">
      <w:pPr>
        <w:rPr>
          <w:rFonts w:ascii="宋体" w:hAnsi="宋体"/>
          <w:b/>
          <w:bCs/>
          <w:color w:val="auto"/>
          <w:sz w:val="24"/>
          <w:highlight w:val="none"/>
        </w:rPr>
      </w:pPr>
    </w:p>
    <w:p w14:paraId="6E7B8A6E">
      <w:pPr>
        <w:ind w:left="1674" w:leftChars="700" w:hanging="134" w:hangingChars="42"/>
        <w:rPr>
          <w:b/>
          <w:color w:val="auto"/>
          <w:sz w:val="48"/>
          <w:szCs w:val="48"/>
          <w:highlight w:val="none"/>
        </w:rPr>
      </w:pPr>
      <w:r>
        <w:rPr>
          <w:rFonts w:hint="eastAsia" w:ascii="宋体" w:hAnsi="宋体"/>
          <w:b/>
          <w:bCs/>
          <w:color w:val="auto"/>
          <w:sz w:val="32"/>
          <w:szCs w:val="32"/>
          <w:highlight w:val="none"/>
        </w:rPr>
        <w:t>工程名称：</w:t>
      </w:r>
      <w:r>
        <w:rPr>
          <w:rFonts w:hint="eastAsia" w:ascii="宋体" w:hAnsi="宋体" w:eastAsia="宋体"/>
          <w:b/>
          <w:bCs/>
          <w:color w:val="auto"/>
          <w:sz w:val="32"/>
          <w:szCs w:val="32"/>
          <w:highlight w:val="none"/>
          <w:lang w:val="en-US" w:eastAsia="zh-CN"/>
        </w:rPr>
        <w:t>1#学生宿舍项目</w:t>
      </w:r>
      <w:r>
        <w:rPr>
          <w:b/>
          <w:color w:val="auto"/>
          <w:sz w:val="48"/>
          <w:szCs w:val="48"/>
          <w:highlight w:val="none"/>
        </w:rPr>
        <w:t xml:space="preserve"> </w:t>
      </w:r>
    </w:p>
    <w:p w14:paraId="7C51297B">
      <w:pPr>
        <w:ind w:left="1674" w:leftChars="700" w:hanging="134" w:hangingChars="42"/>
        <w:rPr>
          <w:rFonts w:ascii="宋体" w:hAnsi="宋体"/>
          <w:b/>
          <w:bCs/>
          <w:color w:val="auto"/>
          <w:sz w:val="32"/>
          <w:szCs w:val="32"/>
          <w:highlight w:val="none"/>
        </w:rPr>
      </w:pPr>
      <w:r>
        <w:rPr>
          <w:rFonts w:hint="eastAsia" w:ascii="宋体" w:hAnsi="宋体"/>
          <w:b/>
          <w:bCs/>
          <w:color w:val="auto"/>
          <w:sz w:val="32"/>
          <w:szCs w:val="32"/>
          <w:highlight w:val="none"/>
        </w:rPr>
        <w:t xml:space="preserve"> </w:t>
      </w:r>
    </w:p>
    <w:p w14:paraId="46F581B0">
      <w:pPr>
        <w:spacing w:line="360" w:lineRule="auto"/>
        <w:ind w:left="1674" w:leftChars="700" w:hanging="134" w:hangingChars="42"/>
        <w:rPr>
          <w:rFonts w:hint="eastAsia" w:ascii="宋体" w:hAnsi="宋体"/>
          <w:b/>
          <w:bCs/>
          <w:color w:val="auto"/>
          <w:sz w:val="32"/>
          <w:szCs w:val="32"/>
          <w:highlight w:val="none"/>
        </w:rPr>
      </w:pPr>
      <w:r>
        <w:rPr>
          <w:rFonts w:hint="eastAsia" w:ascii="宋体" w:hAnsi="宋体"/>
          <w:b/>
          <w:bCs/>
          <w:color w:val="auto"/>
          <w:sz w:val="32"/>
          <w:szCs w:val="32"/>
          <w:highlight w:val="none"/>
        </w:rPr>
        <w:t>工程地点：</w:t>
      </w:r>
      <w:r>
        <w:rPr>
          <w:rFonts w:hint="eastAsia" w:ascii="宋体" w:hAnsi="宋体" w:eastAsia="宋体"/>
          <w:b/>
          <w:bCs/>
          <w:color w:val="auto"/>
          <w:sz w:val="32"/>
          <w:szCs w:val="32"/>
          <w:highlight w:val="none"/>
          <w:lang w:val="en-US" w:eastAsia="zh-CN"/>
        </w:rPr>
        <w:t>柳州市柳北区沙塘镇沙塘街45号</w:t>
      </w:r>
      <w:r>
        <w:rPr>
          <w:rFonts w:hint="eastAsia" w:ascii="宋体" w:hAnsi="宋体"/>
          <w:b/>
          <w:bCs/>
          <w:color w:val="auto"/>
          <w:sz w:val="32"/>
          <w:szCs w:val="32"/>
          <w:highlight w:val="none"/>
        </w:rPr>
        <w:t xml:space="preserve"> </w:t>
      </w:r>
    </w:p>
    <w:p w14:paraId="03785A10">
      <w:pPr>
        <w:pStyle w:val="14"/>
        <w:spacing w:line="360" w:lineRule="auto"/>
        <w:ind w:left="1666" w:leftChars="700" w:hanging="126" w:hangingChars="42"/>
        <w:rPr>
          <w:rFonts w:hint="eastAsia" w:hAnsi="宋体"/>
          <w:b/>
          <w:bCs/>
          <w:color w:val="auto"/>
          <w:sz w:val="30"/>
          <w:szCs w:val="30"/>
          <w:highlight w:val="none"/>
        </w:rPr>
      </w:pPr>
    </w:p>
    <w:p w14:paraId="635232BB">
      <w:pPr>
        <w:spacing w:line="360" w:lineRule="auto"/>
        <w:ind w:left="1674" w:leftChars="700" w:hanging="134" w:hangingChars="42"/>
        <w:rPr>
          <w:rFonts w:hint="default" w:ascii="宋体" w:hAnsi="宋体" w:eastAsia="宋体"/>
          <w:b/>
          <w:bCs/>
          <w:color w:val="auto"/>
          <w:sz w:val="32"/>
          <w:szCs w:val="32"/>
          <w:highlight w:val="none"/>
          <w:lang w:val="en-US" w:eastAsia="zh-CN"/>
        </w:rPr>
      </w:pPr>
      <w:r>
        <w:rPr>
          <w:rFonts w:hint="eastAsia" w:ascii="宋体" w:hAnsi="宋体"/>
          <w:b/>
          <w:bCs/>
          <w:color w:val="auto"/>
          <w:sz w:val="32"/>
          <w:szCs w:val="32"/>
          <w:highlight w:val="none"/>
        </w:rPr>
        <w:t>发 包 人：</w:t>
      </w:r>
      <w:r>
        <w:rPr>
          <w:rFonts w:hint="eastAsia" w:ascii="宋体" w:hAnsi="宋体" w:eastAsia="宋体"/>
          <w:b/>
          <w:bCs/>
          <w:color w:val="auto"/>
          <w:sz w:val="32"/>
          <w:szCs w:val="32"/>
          <w:highlight w:val="none"/>
          <w:lang w:val="en-US" w:eastAsia="zh-CN"/>
        </w:rPr>
        <w:t>广西农牧工程学校</w:t>
      </w:r>
    </w:p>
    <w:p w14:paraId="1011B44B">
      <w:pPr>
        <w:ind w:left="1674" w:leftChars="700" w:hanging="134" w:hangingChars="42"/>
        <w:rPr>
          <w:rFonts w:hint="eastAsia" w:ascii="宋体" w:hAnsi="宋体"/>
          <w:b/>
          <w:bCs/>
          <w:color w:val="auto"/>
          <w:sz w:val="32"/>
          <w:szCs w:val="32"/>
          <w:highlight w:val="none"/>
        </w:rPr>
      </w:pPr>
    </w:p>
    <w:p w14:paraId="562E4803">
      <w:pPr>
        <w:ind w:left="1674" w:leftChars="700" w:hanging="134" w:hangingChars="42"/>
        <w:rPr>
          <w:rFonts w:ascii="宋体" w:hAnsi="宋体"/>
          <w:b/>
          <w:bCs/>
          <w:color w:val="auto"/>
          <w:sz w:val="32"/>
          <w:szCs w:val="32"/>
          <w:highlight w:val="none"/>
        </w:rPr>
      </w:pPr>
      <w:r>
        <w:rPr>
          <w:rFonts w:hint="eastAsia" w:ascii="宋体" w:hAnsi="宋体"/>
          <w:b/>
          <w:bCs/>
          <w:color w:val="auto"/>
          <w:sz w:val="32"/>
          <w:szCs w:val="32"/>
          <w:highlight w:val="none"/>
        </w:rPr>
        <w:t>勘 察 人：</w:t>
      </w:r>
      <w:r>
        <w:rPr>
          <w:rFonts w:ascii="宋体" w:hAnsi="宋体"/>
          <w:b/>
          <w:bCs/>
          <w:color w:val="auto"/>
          <w:sz w:val="32"/>
          <w:szCs w:val="32"/>
          <w:highlight w:val="none"/>
        </w:rPr>
        <w:t xml:space="preserve"> </w:t>
      </w:r>
    </w:p>
    <w:p w14:paraId="519A6C71">
      <w:pPr>
        <w:spacing w:line="360" w:lineRule="auto"/>
        <w:ind w:left="1674" w:leftChars="700" w:hanging="134" w:hangingChars="42"/>
        <w:rPr>
          <w:rFonts w:hint="eastAsia" w:ascii="宋体" w:hAnsi="宋体"/>
          <w:b/>
          <w:bCs/>
          <w:color w:val="auto"/>
          <w:sz w:val="32"/>
          <w:szCs w:val="32"/>
          <w:highlight w:val="none"/>
        </w:rPr>
      </w:pPr>
    </w:p>
    <w:p w14:paraId="6026DD8C">
      <w:pPr>
        <w:spacing w:line="360" w:lineRule="auto"/>
        <w:ind w:left="1674" w:leftChars="700" w:hanging="134" w:hangingChars="42"/>
        <w:rPr>
          <w:rFonts w:hint="eastAsia" w:ascii="宋体" w:hAnsi="宋体"/>
          <w:b/>
          <w:bCs/>
          <w:color w:val="auto"/>
          <w:sz w:val="32"/>
          <w:szCs w:val="32"/>
          <w:highlight w:val="none"/>
        </w:rPr>
      </w:pPr>
      <w:r>
        <w:rPr>
          <w:rFonts w:hint="eastAsia" w:ascii="宋体" w:hAnsi="宋体"/>
          <w:b/>
          <w:bCs/>
          <w:color w:val="auto"/>
          <w:sz w:val="32"/>
          <w:szCs w:val="32"/>
          <w:highlight w:val="none"/>
        </w:rPr>
        <w:t>签订日期:   年   月   日</w:t>
      </w:r>
    </w:p>
    <w:p w14:paraId="253E34DC">
      <w:pPr>
        <w:spacing w:line="360" w:lineRule="auto"/>
        <w:rPr>
          <w:rFonts w:hint="eastAsia" w:ascii="宋体" w:hAnsi="宋体"/>
          <w:b/>
          <w:bCs/>
          <w:color w:val="auto"/>
          <w:sz w:val="32"/>
          <w:szCs w:val="32"/>
          <w:highlight w:val="none"/>
        </w:rPr>
      </w:pPr>
    </w:p>
    <w:p w14:paraId="4E1D5230">
      <w:pPr>
        <w:spacing w:line="360" w:lineRule="auto"/>
        <w:rPr>
          <w:rFonts w:hint="eastAsia" w:ascii="宋体" w:hAnsi="宋体"/>
          <w:b/>
          <w:bCs/>
          <w:color w:val="auto"/>
          <w:sz w:val="32"/>
          <w:szCs w:val="32"/>
          <w:highlight w:val="none"/>
        </w:rPr>
      </w:pPr>
    </w:p>
    <w:p w14:paraId="731E3D2A">
      <w:pPr>
        <w:widowControl w:val="0"/>
        <w:spacing w:line="400" w:lineRule="exact"/>
        <w:jc w:val="center"/>
        <w:rPr>
          <w:rFonts w:hint="eastAsia" w:ascii="FangSong_GB2312" w:hAnsi="宋体" w:eastAsia="FangSong_GB2312"/>
          <w:b/>
          <w:bCs/>
          <w:color w:val="auto"/>
          <w:sz w:val="21"/>
          <w:szCs w:val="21"/>
          <w:highlight w:val="none"/>
        </w:rPr>
      </w:pPr>
    </w:p>
    <w:p w14:paraId="214F98FB">
      <w:pPr>
        <w:widowControl w:val="0"/>
        <w:spacing w:after="0" w:line="400" w:lineRule="exact"/>
        <w:jc w:val="center"/>
        <w:rPr>
          <w:rFonts w:hint="eastAsia" w:ascii="宋体" w:hAnsi="宋体" w:eastAsia="宋体" w:cs="宋体"/>
          <w:b/>
          <w:bCs/>
          <w:color w:val="auto"/>
          <w:sz w:val="36"/>
          <w:szCs w:val="36"/>
          <w:highlight w:val="none"/>
        </w:rPr>
      </w:pPr>
    </w:p>
    <w:p w14:paraId="3F008CCA">
      <w:pPr>
        <w:widowControl w:val="0"/>
        <w:spacing w:after="0" w:line="400" w:lineRule="exact"/>
        <w:jc w:val="center"/>
        <w:rPr>
          <w:rFonts w:hint="eastAsia" w:ascii="宋体" w:hAnsi="宋体" w:eastAsia="宋体" w:cs="宋体"/>
          <w:b/>
          <w:bCs/>
          <w:color w:val="auto"/>
          <w:sz w:val="36"/>
          <w:szCs w:val="36"/>
          <w:highlight w:val="none"/>
        </w:rPr>
      </w:pPr>
    </w:p>
    <w:p w14:paraId="6EA265CD">
      <w:pPr>
        <w:widowControl w:val="0"/>
        <w:spacing w:after="0" w:line="400" w:lineRule="exact"/>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br w:type="column"/>
      </w:r>
    </w:p>
    <w:p w14:paraId="1D65B964">
      <w:pPr>
        <w:widowControl w:val="0"/>
        <w:spacing w:after="0" w:line="400" w:lineRule="exact"/>
        <w:jc w:val="center"/>
        <w:rPr>
          <w:rFonts w:hint="eastAsia" w:ascii="宋体" w:hAnsi="宋体" w:eastAsia="宋体" w:cs="宋体"/>
          <w:b/>
          <w:color w:val="auto"/>
          <w:sz w:val="36"/>
          <w:szCs w:val="36"/>
          <w:highlight w:val="none"/>
        </w:rPr>
      </w:pPr>
      <w:r>
        <w:rPr>
          <w:rFonts w:hint="eastAsia" w:ascii="宋体" w:hAnsi="宋体" w:eastAsia="宋体" w:cs="宋体"/>
          <w:b/>
          <w:bCs/>
          <w:color w:val="auto"/>
          <w:sz w:val="36"/>
          <w:szCs w:val="36"/>
          <w:highlight w:val="none"/>
        </w:rPr>
        <w:t>一、勘察合同协议书</w:t>
      </w:r>
    </w:p>
    <w:p w14:paraId="45FC4A38">
      <w:pPr>
        <w:widowControl w:val="0"/>
        <w:spacing w:after="0" w:line="400" w:lineRule="exact"/>
        <w:jc w:val="center"/>
        <w:rPr>
          <w:rFonts w:ascii="宋体" w:hAnsi="宋体"/>
          <w:b/>
          <w:color w:val="auto"/>
          <w:sz w:val="21"/>
          <w:szCs w:val="21"/>
          <w:highlight w:val="none"/>
        </w:rPr>
      </w:pPr>
    </w:p>
    <w:p w14:paraId="09E1D8D6">
      <w:pPr>
        <w:widowControl w:val="0"/>
        <w:spacing w:after="0" w:line="400" w:lineRule="exact"/>
        <w:rPr>
          <w:rFonts w:ascii="宋体" w:hAnsi="宋体"/>
          <w:color w:val="auto"/>
          <w:sz w:val="21"/>
          <w:szCs w:val="21"/>
          <w:highlight w:val="none"/>
          <w:u w:val="single"/>
        </w:rPr>
      </w:pPr>
      <w:r>
        <w:rPr>
          <w:rFonts w:hint="eastAsia" w:ascii="宋体" w:hAnsi="宋体"/>
          <w:color w:val="auto"/>
          <w:sz w:val="21"/>
          <w:szCs w:val="21"/>
          <w:highlight w:val="none"/>
        </w:rPr>
        <w:t>发包人（全称）：</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（以下简称：甲方）</w:t>
      </w:r>
    </w:p>
    <w:p w14:paraId="43A8A074">
      <w:pPr>
        <w:widowControl w:val="0"/>
        <w:spacing w:after="0" w:line="400" w:lineRule="exact"/>
        <w:rPr>
          <w:rFonts w:hint="eastAsia" w:ascii="宋体" w:hAnsi="宋体"/>
          <w:color w:val="auto"/>
          <w:sz w:val="21"/>
          <w:szCs w:val="21"/>
          <w:highlight w:val="none"/>
          <w:u w:val="single"/>
        </w:rPr>
      </w:pPr>
      <w:r>
        <w:rPr>
          <w:rFonts w:hint="eastAsia" w:ascii="宋体" w:hAnsi="宋体"/>
          <w:color w:val="auto"/>
          <w:sz w:val="21"/>
          <w:szCs w:val="21"/>
          <w:highlight w:val="none"/>
        </w:rPr>
        <w:t>勘察人（全称）：</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 （以下简称：乙方）</w:t>
      </w:r>
    </w:p>
    <w:p w14:paraId="52B5515F">
      <w:pPr>
        <w:widowControl w:val="0"/>
        <w:spacing w:after="0" w:line="400" w:lineRule="exact"/>
        <w:ind w:firstLine="420" w:firstLineChars="200"/>
        <w:rPr>
          <w:rFonts w:ascii="宋体" w:hAnsi="宋体"/>
          <w:b/>
          <w:color w:val="auto"/>
          <w:sz w:val="21"/>
          <w:szCs w:val="21"/>
          <w:highlight w:val="none"/>
        </w:rPr>
      </w:pPr>
      <w:r>
        <w:rPr>
          <w:rFonts w:hAnsi="宋体"/>
          <w:color w:val="auto"/>
          <w:sz w:val="21"/>
          <w:szCs w:val="21"/>
          <w:highlight w:val="none"/>
        </w:rPr>
        <w:t>鉴于</w:t>
      </w:r>
      <w:r>
        <w:rPr>
          <w:rFonts w:hint="eastAsia" w:hAnsi="宋体"/>
          <w:color w:val="auto"/>
          <w:sz w:val="21"/>
          <w:szCs w:val="21"/>
          <w:highlight w:val="none"/>
        </w:rPr>
        <w:t>甲方</w:t>
      </w:r>
      <w:r>
        <w:rPr>
          <w:rFonts w:hAnsi="宋体"/>
          <w:color w:val="auto"/>
          <w:sz w:val="21"/>
          <w:szCs w:val="21"/>
          <w:highlight w:val="none"/>
        </w:rPr>
        <w:t>拟建设</w:t>
      </w:r>
      <w:r>
        <w:rPr>
          <w:rFonts w:hint="eastAsia" w:hAnsi="宋体"/>
          <w:color w:val="auto"/>
          <w:sz w:val="21"/>
          <w:szCs w:val="21"/>
          <w:highlight w:val="none"/>
        </w:rPr>
        <w:t xml:space="preserve">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 项目</w:t>
      </w:r>
      <w:r>
        <w:rPr>
          <w:rFonts w:ascii="宋体" w:hAnsi="宋体"/>
          <w:color w:val="auto"/>
          <w:sz w:val="21"/>
          <w:szCs w:val="21"/>
          <w:highlight w:val="none"/>
        </w:rPr>
        <w:t>，</w:t>
      </w:r>
      <w:r>
        <w:rPr>
          <w:rFonts w:hAnsi="宋体"/>
          <w:color w:val="auto"/>
          <w:sz w:val="21"/>
          <w:szCs w:val="21"/>
          <w:highlight w:val="none"/>
        </w:rPr>
        <w:t>并通过</w:t>
      </w:r>
      <w:r>
        <w:rPr>
          <w:rFonts w:hAnsi="宋体"/>
          <w:color w:val="auto"/>
          <w:sz w:val="21"/>
          <w:szCs w:val="21"/>
          <w:highlight w:val="none"/>
          <w:u w:val="single"/>
        </w:rPr>
        <w:t xml:space="preserve">      </w:t>
      </w:r>
      <w:r>
        <w:rPr>
          <w:rFonts w:hAnsi="宋体"/>
          <w:color w:val="auto"/>
          <w:sz w:val="21"/>
          <w:szCs w:val="21"/>
          <w:highlight w:val="none"/>
        </w:rPr>
        <w:t>年</w:t>
      </w:r>
      <w:r>
        <w:rPr>
          <w:rFonts w:hAnsi="宋体"/>
          <w:color w:val="auto"/>
          <w:sz w:val="21"/>
          <w:szCs w:val="21"/>
          <w:highlight w:val="none"/>
          <w:u w:val="single"/>
        </w:rPr>
        <w:t xml:space="preserve">     </w:t>
      </w:r>
      <w:r>
        <w:rPr>
          <w:rFonts w:hAnsi="宋体"/>
          <w:color w:val="auto"/>
          <w:sz w:val="21"/>
          <w:szCs w:val="21"/>
          <w:highlight w:val="none"/>
        </w:rPr>
        <w:t>月</w:t>
      </w:r>
      <w:r>
        <w:rPr>
          <w:rFonts w:hAnsi="宋体"/>
          <w:color w:val="auto"/>
          <w:sz w:val="21"/>
          <w:szCs w:val="21"/>
          <w:highlight w:val="none"/>
          <w:u w:val="single"/>
        </w:rPr>
        <w:t xml:space="preserve">    </w:t>
      </w:r>
      <w:r>
        <w:rPr>
          <w:rFonts w:hAnsi="宋体"/>
          <w:color w:val="auto"/>
          <w:sz w:val="21"/>
          <w:szCs w:val="21"/>
          <w:highlight w:val="none"/>
        </w:rPr>
        <w:t>日的中标通知书接受了</w:t>
      </w:r>
      <w:r>
        <w:rPr>
          <w:rFonts w:hint="eastAsia" w:hAnsi="宋体"/>
          <w:color w:val="auto"/>
          <w:sz w:val="21"/>
          <w:szCs w:val="21"/>
          <w:highlight w:val="none"/>
        </w:rPr>
        <w:t>乙方</w:t>
      </w:r>
      <w:r>
        <w:rPr>
          <w:rFonts w:hAnsi="宋体"/>
          <w:color w:val="auto"/>
          <w:sz w:val="21"/>
          <w:szCs w:val="21"/>
          <w:highlight w:val="none"/>
        </w:rPr>
        <w:t>为本工程地质勘察所做的投标，双方经协商一致达成如下协议：</w:t>
      </w:r>
    </w:p>
    <w:p w14:paraId="59B5AE9B">
      <w:pPr>
        <w:pStyle w:val="14"/>
        <w:spacing w:line="400" w:lineRule="exact"/>
        <w:ind w:firstLine="420" w:firstLineChars="200"/>
        <w:rPr>
          <w:rFonts w:hAnsi="宋体"/>
          <w:color w:val="auto"/>
          <w:sz w:val="21"/>
          <w:szCs w:val="21"/>
          <w:highlight w:val="none"/>
        </w:rPr>
      </w:pPr>
      <w:r>
        <w:rPr>
          <w:rFonts w:hAnsi="宋体"/>
          <w:color w:val="auto"/>
          <w:sz w:val="21"/>
          <w:szCs w:val="21"/>
          <w:highlight w:val="none"/>
        </w:rPr>
        <w:t>一、本协议中所用术语的含义与下文提到的合同文件中相应术语的含义相同。</w:t>
      </w:r>
    </w:p>
    <w:p w14:paraId="5B517DBA">
      <w:pPr>
        <w:pStyle w:val="14"/>
        <w:spacing w:line="400" w:lineRule="exact"/>
        <w:ind w:firstLine="420" w:firstLineChars="200"/>
        <w:rPr>
          <w:rFonts w:hAnsi="宋体"/>
          <w:color w:val="auto"/>
          <w:sz w:val="21"/>
          <w:szCs w:val="21"/>
          <w:highlight w:val="none"/>
        </w:rPr>
      </w:pPr>
      <w:r>
        <w:rPr>
          <w:rFonts w:hAnsi="宋体"/>
          <w:color w:val="auto"/>
          <w:sz w:val="21"/>
          <w:szCs w:val="21"/>
          <w:highlight w:val="none"/>
        </w:rPr>
        <w:t>二、下列文件应作为本协议的组成部分：</w:t>
      </w:r>
    </w:p>
    <w:p w14:paraId="1D70F6E6">
      <w:pPr>
        <w:pStyle w:val="14"/>
        <w:spacing w:line="400" w:lineRule="exact"/>
        <w:ind w:firstLine="420" w:firstLineChars="200"/>
        <w:rPr>
          <w:rFonts w:hAnsi="宋体"/>
          <w:color w:val="auto"/>
          <w:sz w:val="21"/>
          <w:szCs w:val="21"/>
          <w:highlight w:val="none"/>
        </w:rPr>
      </w:pPr>
      <w:r>
        <w:rPr>
          <w:rFonts w:hAnsi="宋体"/>
          <w:color w:val="auto"/>
          <w:sz w:val="21"/>
          <w:szCs w:val="21"/>
          <w:highlight w:val="none"/>
        </w:rPr>
        <w:t>2.1  双方签订的补充协议</w:t>
      </w:r>
      <w:r>
        <w:rPr>
          <w:rFonts w:hint="eastAsia" w:hAnsi="宋体"/>
          <w:color w:val="auto"/>
          <w:sz w:val="21"/>
          <w:szCs w:val="21"/>
          <w:highlight w:val="none"/>
        </w:rPr>
        <w:t>，以及双方</w:t>
      </w:r>
      <w:r>
        <w:rPr>
          <w:rFonts w:hAnsi="宋体"/>
          <w:color w:val="auto"/>
          <w:sz w:val="21"/>
          <w:szCs w:val="21"/>
          <w:highlight w:val="none"/>
        </w:rPr>
        <w:t>协商同意的变更、纪要、协议；</w:t>
      </w:r>
    </w:p>
    <w:p w14:paraId="27E58D69">
      <w:pPr>
        <w:pStyle w:val="14"/>
        <w:spacing w:line="400" w:lineRule="exact"/>
        <w:ind w:firstLine="420" w:firstLineChars="200"/>
        <w:rPr>
          <w:rFonts w:hAnsi="宋体"/>
          <w:color w:val="auto"/>
          <w:sz w:val="21"/>
          <w:szCs w:val="21"/>
          <w:highlight w:val="none"/>
        </w:rPr>
      </w:pPr>
      <w:r>
        <w:rPr>
          <w:rFonts w:hAnsi="宋体"/>
          <w:color w:val="auto"/>
          <w:sz w:val="21"/>
          <w:szCs w:val="21"/>
          <w:highlight w:val="none"/>
        </w:rPr>
        <w:t>2.2  本协议书；</w:t>
      </w:r>
    </w:p>
    <w:p w14:paraId="4CBD2311">
      <w:pPr>
        <w:pStyle w:val="14"/>
        <w:spacing w:line="400" w:lineRule="exact"/>
        <w:rPr>
          <w:rFonts w:hAnsi="宋体"/>
          <w:color w:val="auto"/>
          <w:sz w:val="21"/>
          <w:szCs w:val="21"/>
          <w:highlight w:val="none"/>
        </w:rPr>
      </w:pPr>
      <w:r>
        <w:rPr>
          <w:rFonts w:hAnsi="宋体"/>
          <w:color w:val="auto"/>
          <w:sz w:val="21"/>
          <w:szCs w:val="21"/>
          <w:highlight w:val="none"/>
        </w:rPr>
        <w:t xml:space="preserve">    2.3  中标通知书；</w:t>
      </w:r>
    </w:p>
    <w:p w14:paraId="0FEE2AEE">
      <w:pPr>
        <w:pStyle w:val="14"/>
        <w:spacing w:line="400" w:lineRule="exact"/>
        <w:rPr>
          <w:rFonts w:hint="eastAsia" w:hAnsi="宋体"/>
          <w:color w:val="auto"/>
          <w:sz w:val="21"/>
          <w:szCs w:val="21"/>
          <w:highlight w:val="none"/>
        </w:rPr>
      </w:pPr>
      <w:r>
        <w:rPr>
          <w:rFonts w:hAnsi="宋体"/>
          <w:color w:val="auto"/>
          <w:sz w:val="21"/>
          <w:szCs w:val="21"/>
          <w:highlight w:val="none"/>
        </w:rPr>
        <w:t xml:space="preserve">    2.4  投标文件；</w:t>
      </w:r>
    </w:p>
    <w:p w14:paraId="0761EF60">
      <w:pPr>
        <w:pStyle w:val="14"/>
        <w:spacing w:line="400" w:lineRule="exact"/>
        <w:rPr>
          <w:rFonts w:hAnsi="宋体"/>
          <w:color w:val="auto"/>
          <w:sz w:val="21"/>
          <w:szCs w:val="21"/>
          <w:highlight w:val="none"/>
        </w:rPr>
      </w:pPr>
      <w:r>
        <w:rPr>
          <w:rFonts w:hAnsi="宋体"/>
          <w:color w:val="auto"/>
          <w:sz w:val="21"/>
          <w:szCs w:val="21"/>
          <w:highlight w:val="none"/>
        </w:rPr>
        <w:t xml:space="preserve">    2.5  合同条件的专用条件；</w:t>
      </w:r>
    </w:p>
    <w:p w14:paraId="7CE19A79">
      <w:pPr>
        <w:pStyle w:val="14"/>
        <w:spacing w:line="400" w:lineRule="exact"/>
        <w:rPr>
          <w:rFonts w:hAnsi="宋体"/>
          <w:color w:val="auto"/>
          <w:sz w:val="21"/>
          <w:szCs w:val="21"/>
          <w:highlight w:val="none"/>
        </w:rPr>
      </w:pPr>
      <w:r>
        <w:rPr>
          <w:rFonts w:hAnsi="宋体"/>
          <w:color w:val="auto"/>
          <w:sz w:val="21"/>
          <w:szCs w:val="21"/>
          <w:highlight w:val="none"/>
        </w:rPr>
        <w:t xml:space="preserve">    2.6  合同条件的通用条件；</w:t>
      </w:r>
    </w:p>
    <w:p w14:paraId="1E726726">
      <w:pPr>
        <w:pStyle w:val="14"/>
        <w:spacing w:line="400" w:lineRule="exact"/>
        <w:rPr>
          <w:rFonts w:hAnsi="宋体"/>
          <w:color w:val="auto"/>
          <w:sz w:val="21"/>
          <w:szCs w:val="21"/>
          <w:highlight w:val="none"/>
        </w:rPr>
      </w:pPr>
      <w:r>
        <w:rPr>
          <w:rFonts w:hAnsi="宋体"/>
          <w:color w:val="auto"/>
          <w:sz w:val="21"/>
          <w:szCs w:val="21"/>
          <w:highlight w:val="none"/>
        </w:rPr>
        <w:t xml:space="preserve">    上述文件互为补充和解释，如有不清或互相矛盾之处，以上面所列顺序在前的为准。</w:t>
      </w:r>
    </w:p>
    <w:p w14:paraId="663094D6">
      <w:pPr>
        <w:pStyle w:val="14"/>
        <w:spacing w:line="400" w:lineRule="exact"/>
        <w:ind w:firstLine="420" w:firstLineChars="200"/>
        <w:rPr>
          <w:rFonts w:hAnsi="宋体"/>
          <w:color w:val="auto"/>
          <w:sz w:val="21"/>
          <w:szCs w:val="21"/>
          <w:highlight w:val="none"/>
        </w:rPr>
      </w:pPr>
      <w:r>
        <w:rPr>
          <w:rFonts w:hAnsi="宋体"/>
          <w:color w:val="auto"/>
          <w:sz w:val="21"/>
          <w:szCs w:val="21"/>
          <w:highlight w:val="none"/>
        </w:rPr>
        <w:t>三、勘察工作要求如下：</w:t>
      </w:r>
    </w:p>
    <w:p w14:paraId="5E50B9AC">
      <w:pPr>
        <w:pStyle w:val="14"/>
        <w:numPr>
          <w:ilvl w:val="1"/>
          <w:numId w:val="6"/>
        </w:numPr>
        <w:spacing w:line="400" w:lineRule="exact"/>
        <w:rPr>
          <w:rFonts w:hint="eastAsia" w:hAnsi="宋体"/>
          <w:color w:val="auto"/>
          <w:sz w:val="21"/>
          <w:szCs w:val="21"/>
          <w:highlight w:val="none"/>
        </w:rPr>
      </w:pPr>
      <w:r>
        <w:rPr>
          <w:rFonts w:hint="eastAsia" w:hAnsi="宋体"/>
          <w:color w:val="auto"/>
          <w:sz w:val="21"/>
          <w:szCs w:val="21"/>
          <w:highlight w:val="none"/>
        </w:rPr>
        <w:t>基本原则</w:t>
      </w:r>
    </w:p>
    <w:p w14:paraId="31464D69">
      <w:pPr>
        <w:widowControl w:val="0"/>
        <w:numPr>
          <w:ilvl w:val="0"/>
          <w:numId w:val="7"/>
        </w:numPr>
        <w:spacing w:after="0" w:line="400" w:lineRule="exact"/>
        <w:rPr>
          <w:rFonts w:hint="eastAsia" w:ascii="宋体" w:hAnsi="宋体"/>
          <w:color w:val="auto"/>
          <w:sz w:val="21"/>
          <w:szCs w:val="21"/>
          <w:highlight w:val="none"/>
        </w:rPr>
      </w:pPr>
      <w:r>
        <w:rPr>
          <w:rFonts w:ascii="宋体" w:hAnsi="宋体"/>
          <w:color w:val="auto"/>
          <w:sz w:val="21"/>
          <w:szCs w:val="21"/>
          <w:highlight w:val="none"/>
        </w:rPr>
        <w:t>本工程的勘察过程和成果必须符合国家有关工程建设标准强制性条文和建设部、交通部关于工程勘察方面现行的标准、规范、规程、定额、办法、示例，以及招标项目所在省(自治区/直辖市)关于工程勘察方面的文件、规定。</w:t>
      </w:r>
    </w:p>
    <w:p w14:paraId="2FD6D7C8">
      <w:pPr>
        <w:widowControl w:val="0"/>
        <w:numPr>
          <w:ilvl w:val="0"/>
          <w:numId w:val="7"/>
        </w:numPr>
        <w:spacing w:after="0" w:line="400" w:lineRule="exact"/>
        <w:rPr>
          <w:rFonts w:ascii="宋体" w:hAnsi="宋体"/>
          <w:color w:val="auto"/>
          <w:sz w:val="21"/>
          <w:szCs w:val="21"/>
          <w:highlight w:val="none"/>
        </w:rPr>
      </w:pPr>
      <w:r>
        <w:rPr>
          <w:rFonts w:ascii="宋体" w:hAnsi="宋体"/>
          <w:color w:val="auto"/>
          <w:sz w:val="21"/>
          <w:szCs w:val="21"/>
          <w:highlight w:val="none"/>
        </w:rPr>
        <w:t>勘察人在勘察工作中使用或参考上述标准、规范以外的技术标准、规范时，应征得业主或业主的指定代表人的同意。</w:t>
      </w:r>
    </w:p>
    <w:p w14:paraId="0C50A106">
      <w:pPr>
        <w:widowControl w:val="0"/>
        <w:numPr>
          <w:ilvl w:val="0"/>
          <w:numId w:val="7"/>
        </w:numPr>
        <w:spacing w:after="0" w:line="400" w:lineRule="exact"/>
        <w:rPr>
          <w:rFonts w:ascii="宋体" w:hAnsi="宋体"/>
          <w:color w:val="auto"/>
          <w:sz w:val="21"/>
          <w:szCs w:val="21"/>
          <w:highlight w:val="none"/>
        </w:rPr>
      </w:pPr>
      <w:r>
        <w:rPr>
          <w:rFonts w:ascii="宋体" w:hAnsi="宋体"/>
          <w:color w:val="auto"/>
          <w:sz w:val="21"/>
          <w:szCs w:val="21"/>
          <w:highlight w:val="none"/>
        </w:rPr>
        <w:t>在勘察过程中，如果国家或有关部门颁布了新的技术标准或规范，则勘察人应采用新的标准或规范进行设计</w:t>
      </w:r>
      <w:r>
        <w:rPr>
          <w:rFonts w:hint="eastAsia" w:ascii="宋体" w:hAnsi="宋体"/>
          <w:color w:val="auto"/>
          <w:sz w:val="21"/>
          <w:szCs w:val="21"/>
          <w:highlight w:val="none"/>
        </w:rPr>
        <w:t>（如有因此而产生的费用增加，勘察人应及时征得业主同意并办理相关手续）</w:t>
      </w:r>
      <w:r>
        <w:rPr>
          <w:rFonts w:ascii="宋体" w:hAnsi="宋体"/>
          <w:color w:val="auto"/>
          <w:sz w:val="21"/>
          <w:szCs w:val="21"/>
          <w:highlight w:val="none"/>
        </w:rPr>
        <w:t>。</w:t>
      </w:r>
    </w:p>
    <w:p w14:paraId="1B23CE2F">
      <w:pPr>
        <w:widowControl w:val="0"/>
        <w:spacing w:after="0" w:line="400" w:lineRule="exact"/>
        <w:ind w:left="209" w:leftChars="95" w:firstLine="210" w:firstLineChars="100"/>
        <w:rPr>
          <w:rFonts w:ascii="宋体" w:hAnsi="宋体"/>
          <w:color w:val="auto"/>
          <w:sz w:val="21"/>
          <w:szCs w:val="21"/>
          <w:highlight w:val="none"/>
        </w:rPr>
      </w:pPr>
      <w:r>
        <w:rPr>
          <w:rFonts w:hint="eastAsia" w:ascii="宋体" w:hAnsi="宋体"/>
          <w:color w:val="auto"/>
          <w:sz w:val="21"/>
          <w:szCs w:val="21"/>
          <w:highlight w:val="none"/>
        </w:rPr>
        <w:t xml:space="preserve">3.2勘察工期: </w:t>
      </w:r>
      <w:r>
        <w:rPr>
          <w:rFonts w:hint="eastAsia" w:ascii="宋体" w:hAnsi="宋体" w:eastAsia="宋体" w:cs="宋体"/>
          <w:color w:val="auto"/>
          <w:sz w:val="21"/>
          <w:szCs w:val="21"/>
          <w:highlight w:val="none"/>
        </w:rPr>
        <w:t>根据业主要求的时间开始工作，</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日历日向业主提交勘察中间成果资料，并在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日历日内完成野外勘察工作并提交最终勘察报告。如已有施工单位进场进行桩基施工，勘察单位应每天向业主提交当天勘察中间成果资料，保证施工进度。</w:t>
      </w:r>
    </w:p>
    <w:p w14:paraId="520A1C75">
      <w:pPr>
        <w:widowControl w:val="0"/>
        <w:spacing w:after="0" w:line="400" w:lineRule="exact"/>
        <w:ind w:firstLine="420" w:firstLineChars="200"/>
        <w:rPr>
          <w:rFonts w:hint="eastAsia" w:ascii="宋体" w:hAnsi="宋体"/>
          <w:bCs/>
          <w:color w:val="auto"/>
          <w:sz w:val="21"/>
          <w:szCs w:val="21"/>
          <w:highlight w:val="none"/>
        </w:rPr>
      </w:pPr>
      <w:r>
        <w:rPr>
          <w:rFonts w:hint="eastAsia" w:ascii="宋体" w:hAnsi="宋体"/>
          <w:bCs/>
          <w:color w:val="auto"/>
          <w:sz w:val="21"/>
          <w:szCs w:val="21"/>
          <w:highlight w:val="none"/>
        </w:rPr>
        <w:t>3.3有效施工现场配合服务：根据工程施工需要服务至工程竣工验收。若工程出现问题时，乙方需在24小时内响应，并在甲方规定时间内提出解决方案。</w:t>
      </w:r>
    </w:p>
    <w:p w14:paraId="4D317FE6">
      <w:pPr>
        <w:widowControl w:val="0"/>
        <w:spacing w:after="0" w:line="400" w:lineRule="exact"/>
        <w:ind w:firstLine="420" w:firstLineChars="200"/>
        <w:rPr>
          <w:rFonts w:hint="eastAsia" w:ascii="宋体" w:hAnsi="宋体"/>
          <w:color w:val="auto"/>
          <w:sz w:val="21"/>
          <w:szCs w:val="21"/>
          <w:highlight w:val="none"/>
        </w:rPr>
      </w:pPr>
      <w:r>
        <w:rPr>
          <w:rFonts w:hint="eastAsia" w:ascii="宋体" w:hAnsi="宋体"/>
          <w:bCs/>
          <w:color w:val="auto"/>
          <w:sz w:val="21"/>
          <w:szCs w:val="21"/>
          <w:highlight w:val="none"/>
        </w:rPr>
        <w:t>3.4</w:t>
      </w:r>
      <w:r>
        <w:rPr>
          <w:rFonts w:hint="eastAsia" w:ascii="宋体" w:hAnsi="宋体"/>
          <w:color w:val="auto"/>
          <w:sz w:val="21"/>
          <w:szCs w:val="21"/>
          <w:highlight w:val="none"/>
        </w:rPr>
        <w:t>地质勘察工作的顺序即各钻孔开钻的先后顺序由甲方相关负责人进行确定。</w:t>
      </w:r>
    </w:p>
    <w:p w14:paraId="1233CEA8">
      <w:pPr>
        <w:widowControl w:val="0"/>
        <w:spacing w:after="0" w:line="400" w:lineRule="exact"/>
        <w:ind w:firstLine="420" w:firstLineChars="200"/>
        <w:rPr>
          <w:rFonts w:hint="eastAsia" w:ascii="宋体" w:hAnsi="宋体"/>
          <w:bCs/>
          <w:color w:val="auto"/>
          <w:sz w:val="21"/>
          <w:szCs w:val="21"/>
          <w:highlight w:val="none"/>
        </w:rPr>
      </w:pPr>
      <w:r>
        <w:rPr>
          <w:rFonts w:hint="eastAsia" w:ascii="宋体" w:hAnsi="宋体"/>
          <w:bCs/>
          <w:color w:val="auto"/>
          <w:sz w:val="21"/>
          <w:szCs w:val="21"/>
          <w:highlight w:val="none"/>
        </w:rPr>
        <w:t>四、甲方和乙方双方责任和义务及违约条款遵照勘察合同条款的规定。</w:t>
      </w:r>
    </w:p>
    <w:p w14:paraId="47A612C8">
      <w:pPr>
        <w:widowControl w:val="0"/>
        <w:spacing w:after="0" w:line="400" w:lineRule="exact"/>
        <w:ind w:firstLine="420" w:firstLineChars="200"/>
        <w:rPr>
          <w:rFonts w:hint="eastAsia" w:ascii="宋体" w:hAnsi="宋体"/>
          <w:bCs/>
          <w:color w:val="auto"/>
          <w:sz w:val="21"/>
          <w:szCs w:val="21"/>
          <w:highlight w:val="none"/>
        </w:rPr>
      </w:pPr>
      <w:r>
        <w:rPr>
          <w:rFonts w:hint="eastAsia" w:ascii="宋体" w:hAnsi="宋体"/>
          <w:bCs/>
          <w:color w:val="auto"/>
          <w:sz w:val="21"/>
          <w:szCs w:val="21"/>
          <w:highlight w:val="none"/>
        </w:rPr>
        <w:t>五、最终提交的勘察成果：</w:t>
      </w:r>
      <w:r>
        <w:rPr>
          <w:rFonts w:hint="eastAsia" w:ascii="宋体" w:hAnsi="宋体"/>
          <w:bCs/>
          <w:color w:val="auto"/>
          <w:sz w:val="21"/>
          <w:szCs w:val="21"/>
          <w:highlight w:val="none"/>
          <w:u w:val="single"/>
        </w:rPr>
        <w:t>详见本合同专用条件中相关约定。</w:t>
      </w:r>
    </w:p>
    <w:p w14:paraId="01D8C252">
      <w:pPr>
        <w:widowControl w:val="0"/>
        <w:spacing w:after="0" w:line="400" w:lineRule="exact"/>
        <w:ind w:firstLine="420" w:firstLineChars="200"/>
        <w:rPr>
          <w:rFonts w:hint="eastAsia" w:ascii="宋体" w:hAnsi="宋体"/>
          <w:b/>
          <w:color w:val="auto"/>
          <w:sz w:val="21"/>
          <w:szCs w:val="21"/>
          <w:highlight w:val="none"/>
        </w:rPr>
      </w:pPr>
      <w:r>
        <w:rPr>
          <w:rFonts w:hint="eastAsia" w:ascii="宋体" w:hAnsi="宋体"/>
          <w:bCs/>
          <w:color w:val="auto"/>
          <w:sz w:val="21"/>
          <w:szCs w:val="21"/>
          <w:highlight w:val="none"/>
        </w:rPr>
        <w:t>六、勘察费用与支付</w:t>
      </w:r>
      <w:r>
        <w:rPr>
          <w:rFonts w:hint="eastAsia" w:ascii="宋体" w:hAnsi="宋体"/>
          <w:b/>
          <w:color w:val="auto"/>
          <w:sz w:val="21"/>
          <w:szCs w:val="21"/>
          <w:highlight w:val="none"/>
        </w:rPr>
        <w:t>：</w:t>
      </w:r>
    </w:p>
    <w:p w14:paraId="44AC8593">
      <w:pPr>
        <w:widowControl w:val="0"/>
        <w:spacing w:after="0" w:line="40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本合同的总金额是完成本同所规定义务的一切费用，业主将分期支付。</w:t>
      </w:r>
    </w:p>
    <w:p w14:paraId="48F20DE5">
      <w:pPr>
        <w:pStyle w:val="14"/>
        <w:spacing w:line="400" w:lineRule="exact"/>
        <w:ind w:firstLine="480"/>
        <w:rPr>
          <w:rFonts w:hAnsi="宋体"/>
          <w:color w:val="auto"/>
          <w:sz w:val="21"/>
          <w:szCs w:val="21"/>
          <w:highlight w:val="none"/>
        </w:rPr>
      </w:pPr>
      <w:r>
        <w:rPr>
          <w:rFonts w:hAnsi="宋体"/>
          <w:color w:val="auto"/>
          <w:sz w:val="21"/>
          <w:szCs w:val="21"/>
          <w:highlight w:val="none"/>
        </w:rPr>
        <w:t>（一）本合同勘察费报价：</w:t>
      </w:r>
    </w:p>
    <w:p w14:paraId="3B2A8BE6">
      <w:pPr>
        <w:widowControl w:val="0"/>
        <w:spacing w:after="0" w:line="400" w:lineRule="exact"/>
        <w:ind w:firstLine="420" w:firstLineChars="200"/>
        <w:rPr>
          <w:rFonts w:hint="eastAsia" w:ascii="宋体" w:hAnsi="宋体"/>
          <w:color w:val="auto"/>
          <w:sz w:val="21"/>
          <w:szCs w:val="21"/>
          <w:highlight w:val="none"/>
          <w:u w:val="single"/>
        </w:rPr>
      </w:pPr>
      <w:r>
        <w:rPr>
          <w:rFonts w:hint="eastAsia" w:ascii="宋体" w:hAnsi="宋体"/>
          <w:color w:val="auto"/>
          <w:sz w:val="21"/>
          <w:szCs w:val="21"/>
          <w:highlight w:val="none"/>
        </w:rPr>
        <w:t>1、本合同暂估价（估算价×勘察费打折系数）＝</w:t>
      </w:r>
      <w:r>
        <w:rPr>
          <w:rFonts w:ascii="宋体" w:hAnsi="宋体"/>
          <w:color w:val="auto"/>
          <w:sz w:val="21"/>
          <w:szCs w:val="21"/>
          <w:highlight w:val="none"/>
          <w:u w:val="single"/>
        </w:rPr>
        <w:t xml:space="preserve"> </w:t>
      </w:r>
      <w:r>
        <w:rPr>
          <w:rFonts w:hint="eastAsia" w:ascii="宋体" w:hAnsi="宋体" w:eastAsia="宋体"/>
          <w:color w:val="auto"/>
          <w:sz w:val="21"/>
          <w:szCs w:val="21"/>
          <w:highlight w:val="none"/>
          <w:u w:val="single"/>
          <w:lang w:val="en-US" w:eastAsia="zh-CN"/>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元</w:t>
      </w:r>
    </w:p>
    <w:p w14:paraId="6C04B6D1">
      <w:pPr>
        <w:widowControl w:val="0"/>
        <w:spacing w:after="0" w:line="40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2、勘察费打折系数为：</w:t>
      </w:r>
      <w:r>
        <w:rPr>
          <w:rFonts w:ascii="宋体" w:hAnsi="宋体"/>
          <w:color w:val="auto"/>
          <w:sz w:val="21"/>
          <w:szCs w:val="21"/>
          <w:highlight w:val="none"/>
          <w:u w:val="single"/>
        </w:rPr>
        <w:t xml:space="preserve">              </w:t>
      </w:r>
      <w:r>
        <w:rPr>
          <w:rFonts w:hint="eastAsia" w:ascii="宋体" w:hAnsi="宋体"/>
          <w:color w:val="auto"/>
          <w:sz w:val="21"/>
          <w:szCs w:val="21"/>
          <w:highlight w:val="none"/>
        </w:rPr>
        <w:t>(投标人勘察费打折系数保留到小数点后两位)。</w:t>
      </w:r>
    </w:p>
    <w:p w14:paraId="045B9942">
      <w:pPr>
        <w:widowControl w:val="0"/>
        <w:spacing w:after="0" w:line="40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3、工程勘察收费=工程勘察收费基准价×勘察费打折系数</w:t>
      </w:r>
    </w:p>
    <w:p w14:paraId="2D0F17D0">
      <w:pPr>
        <w:spacing w:after="0" w:line="380" w:lineRule="exact"/>
        <w:ind w:firstLine="420" w:firstLineChars="200"/>
        <w:contextualSpacing/>
        <w:rPr>
          <w:rFonts w:hint="eastAsia" w:ascii="宋体" w:hAnsi="宋体" w:eastAsia="宋体"/>
          <w:color w:val="auto"/>
          <w:sz w:val="21"/>
          <w:szCs w:val="21"/>
          <w:highlight w:val="none"/>
        </w:rPr>
      </w:pPr>
      <w:r>
        <w:rPr>
          <w:rFonts w:hint="eastAsia" w:ascii="宋体" w:hAnsi="宋体" w:eastAsia="宋体"/>
          <w:color w:val="auto"/>
          <w:sz w:val="21"/>
          <w:szCs w:val="21"/>
          <w:highlight w:val="none"/>
        </w:rPr>
        <w:t>招标以及签订合同的勘察费为暂估费用，最终以实际发生的勘察工作量结算勘察费。</w:t>
      </w:r>
    </w:p>
    <w:p w14:paraId="627D39C5">
      <w:pPr>
        <w:spacing w:after="0" w:line="380" w:lineRule="exact"/>
        <w:ind w:firstLine="422" w:firstLineChars="200"/>
        <w:contextualSpacing/>
        <w:rPr>
          <w:rFonts w:hint="eastAsia" w:ascii="宋体" w:hAnsi="宋体"/>
          <w:color w:val="auto"/>
          <w:sz w:val="21"/>
          <w:szCs w:val="21"/>
          <w:highlight w:val="none"/>
        </w:rPr>
      </w:pPr>
      <w:r>
        <w:rPr>
          <w:rFonts w:hint="eastAsia" w:ascii="宋体" w:hAnsi="宋体" w:eastAsia="宋体"/>
          <w:b/>
          <w:bCs/>
          <w:color w:val="auto"/>
          <w:sz w:val="21"/>
          <w:szCs w:val="21"/>
          <w:highlight w:val="none"/>
        </w:rPr>
        <w:t>勘察工作正式开展前，勘察单位应编制详细的各阶段勘察方案并报发包人审核确认后，方可开展勘察工作。</w:t>
      </w:r>
    </w:p>
    <w:p w14:paraId="55AC756B">
      <w:pPr>
        <w:spacing w:after="0" w:line="380" w:lineRule="exact"/>
        <w:ind w:firstLine="420" w:firstLineChars="200"/>
        <w:contextualSpacing/>
        <w:rPr>
          <w:rFonts w:hint="eastAsia" w:ascii="宋体" w:hAnsi="宋体"/>
          <w:color w:val="auto"/>
          <w:sz w:val="21"/>
          <w:szCs w:val="21"/>
          <w:highlight w:val="none"/>
        </w:rPr>
      </w:pPr>
      <w:r>
        <w:rPr>
          <w:rFonts w:hint="eastAsia" w:ascii="宋体" w:hAnsi="宋体"/>
          <w:color w:val="auto"/>
          <w:sz w:val="21"/>
          <w:szCs w:val="21"/>
          <w:highlight w:val="none"/>
        </w:rPr>
        <w:t>本报价的打折系数中必须自行考虑已包含完成勘察工作、配合地震安全评价所需现场资料的提取、施工服务至工程竣工与地质勘察、基坑支护设计相关的所有费用，发生以下费用的，发包人不再另行支付：办理工程勘察相关许可，以及购买有关资料费；拆除障碍物，开挖以及修复地下管线费；修通至作业现场道路，接通电源、水源以及平整场地费；勘察材料以及加工费；水上作业用船、排、平台以及水监费；勘察作业大型机具搬运费；青苗、树木以及水域养植物赔偿费等。</w:t>
      </w:r>
      <w:r>
        <w:rPr>
          <w:rFonts w:hint="eastAsia" w:ascii="宋体" w:hAnsi="宋体"/>
          <w:b/>
          <w:color w:val="auto"/>
          <w:sz w:val="21"/>
          <w:szCs w:val="21"/>
          <w:highlight w:val="none"/>
        </w:rPr>
        <w:t>如本项目需要设备多次进场费用不另行计算，投标人在报价中自行考虑风险等。</w:t>
      </w:r>
      <w:r>
        <w:rPr>
          <w:rFonts w:hint="eastAsia" w:ascii="宋体" w:hAnsi="宋体"/>
          <w:color w:val="auto"/>
          <w:sz w:val="21"/>
          <w:szCs w:val="21"/>
          <w:highlight w:val="none"/>
        </w:rPr>
        <w:t>勘察费用金额依据上述打折系数、相关系数，根据经甲方核实的实际工作量计算，并送财政或审计部门或业主委托的第三方审计机构审核。</w:t>
      </w:r>
    </w:p>
    <w:p w14:paraId="43E5E24F">
      <w:pPr>
        <w:spacing w:after="0" w:line="380" w:lineRule="exact"/>
        <w:ind w:firstLine="420" w:firstLineChars="200"/>
        <w:contextualSpacing/>
        <w:rPr>
          <w:rFonts w:hint="eastAsia" w:ascii="宋体" w:hAnsi="宋体" w:eastAsia="宋体"/>
          <w:color w:val="auto"/>
          <w:sz w:val="21"/>
          <w:szCs w:val="21"/>
          <w:highlight w:val="none"/>
        </w:rPr>
      </w:pPr>
      <w:r>
        <w:rPr>
          <w:rFonts w:hint="eastAsia" w:ascii="宋体" w:hAnsi="宋体" w:eastAsia="宋体"/>
          <w:color w:val="auto"/>
          <w:sz w:val="21"/>
          <w:szCs w:val="21"/>
          <w:highlight w:val="none"/>
        </w:rPr>
        <w:t>4、勘察费计价依据：岩土工程勘察费按《工程勘察设计收费标准》（2002年修订本）计取。</w:t>
      </w:r>
    </w:p>
    <w:p w14:paraId="3C7353BD">
      <w:pPr>
        <w:pStyle w:val="14"/>
        <w:spacing w:line="400" w:lineRule="exact"/>
        <w:ind w:firstLine="480"/>
        <w:rPr>
          <w:rFonts w:hAnsi="宋体"/>
          <w:color w:val="auto"/>
          <w:sz w:val="21"/>
          <w:szCs w:val="21"/>
          <w:highlight w:val="none"/>
        </w:rPr>
      </w:pPr>
      <w:r>
        <w:rPr>
          <w:rFonts w:hAnsi="宋体"/>
          <w:color w:val="auto"/>
          <w:sz w:val="21"/>
          <w:szCs w:val="21"/>
          <w:highlight w:val="none"/>
        </w:rPr>
        <w:t>（二）勘察费支付：</w:t>
      </w:r>
    </w:p>
    <w:p w14:paraId="12383C26">
      <w:pPr>
        <w:pStyle w:val="14"/>
        <w:spacing w:line="400" w:lineRule="exact"/>
        <w:ind w:firstLine="480"/>
        <w:rPr>
          <w:rFonts w:hAnsi="宋体"/>
          <w:color w:val="auto"/>
          <w:sz w:val="21"/>
          <w:szCs w:val="21"/>
          <w:highlight w:val="none"/>
        </w:rPr>
      </w:pPr>
      <w:r>
        <w:rPr>
          <w:rFonts w:hAnsi="宋体"/>
          <w:color w:val="auto"/>
          <w:sz w:val="21"/>
          <w:szCs w:val="21"/>
          <w:highlight w:val="none"/>
        </w:rPr>
        <w:t>1、各构筑物工程勘察工作完成后，其勘察报告递交业主时，各构筑物的勘察报告经审查通过后，支付该构筑物工程勘察费的</w:t>
      </w:r>
      <w:r>
        <w:rPr>
          <w:rFonts w:hAnsi="宋体"/>
          <w:color w:val="auto"/>
          <w:sz w:val="21"/>
          <w:szCs w:val="21"/>
          <w:highlight w:val="none"/>
          <w:u w:val="single"/>
        </w:rPr>
        <w:t xml:space="preserve"> 70 </w:t>
      </w:r>
      <w:r>
        <w:rPr>
          <w:rFonts w:hAnsi="宋体"/>
          <w:color w:val="auto"/>
          <w:sz w:val="21"/>
          <w:szCs w:val="21"/>
          <w:highlight w:val="none"/>
        </w:rPr>
        <w:t>%。</w:t>
      </w:r>
    </w:p>
    <w:p w14:paraId="60F6F0CD">
      <w:pPr>
        <w:pStyle w:val="14"/>
        <w:spacing w:line="400" w:lineRule="exact"/>
        <w:ind w:firstLine="480"/>
        <w:rPr>
          <w:rFonts w:hAnsi="宋体"/>
          <w:color w:val="auto"/>
          <w:sz w:val="21"/>
          <w:szCs w:val="21"/>
          <w:highlight w:val="none"/>
        </w:rPr>
      </w:pPr>
      <w:r>
        <w:rPr>
          <w:rFonts w:hAnsi="宋体"/>
          <w:color w:val="auto"/>
          <w:sz w:val="21"/>
          <w:szCs w:val="21"/>
          <w:highlight w:val="none"/>
        </w:rPr>
        <w:t>2、勘察报告经审查通过后，送财政、审计部门审定</w:t>
      </w:r>
      <w:r>
        <w:rPr>
          <w:rFonts w:hint="eastAsia" w:hAnsi="宋体"/>
          <w:color w:val="auto"/>
          <w:sz w:val="21"/>
          <w:szCs w:val="21"/>
          <w:highlight w:val="none"/>
          <w:lang w:eastAsia="zh-CN"/>
        </w:rPr>
        <w:t>（如有需要）</w:t>
      </w:r>
      <w:r>
        <w:rPr>
          <w:rFonts w:hAnsi="宋体"/>
          <w:color w:val="auto"/>
          <w:sz w:val="21"/>
          <w:szCs w:val="21"/>
          <w:highlight w:val="none"/>
        </w:rPr>
        <w:t>，待全部基础施工完工后，累计支付至该构筑物工程勘察费的</w:t>
      </w:r>
      <w:r>
        <w:rPr>
          <w:rFonts w:hAnsi="宋体"/>
          <w:color w:val="auto"/>
          <w:sz w:val="21"/>
          <w:szCs w:val="21"/>
          <w:highlight w:val="none"/>
          <w:u w:val="single"/>
        </w:rPr>
        <w:t xml:space="preserve"> 90 </w:t>
      </w:r>
      <w:r>
        <w:rPr>
          <w:rFonts w:hAnsi="宋体"/>
          <w:color w:val="auto"/>
          <w:sz w:val="21"/>
          <w:szCs w:val="21"/>
          <w:highlight w:val="none"/>
        </w:rPr>
        <w:t>%。如本项目列入柳州市审计计划，则结算必须经审计机关审定后方可累计支付至结算审计金额的90%。</w:t>
      </w:r>
    </w:p>
    <w:p w14:paraId="0D2BF81A">
      <w:pPr>
        <w:pStyle w:val="14"/>
        <w:spacing w:line="400" w:lineRule="exact"/>
        <w:ind w:firstLine="480"/>
        <w:rPr>
          <w:rFonts w:hAnsi="宋体"/>
          <w:color w:val="auto"/>
          <w:sz w:val="21"/>
          <w:szCs w:val="21"/>
          <w:highlight w:val="none"/>
        </w:rPr>
      </w:pPr>
      <w:r>
        <w:rPr>
          <w:rFonts w:hAnsi="宋体"/>
          <w:color w:val="auto"/>
          <w:sz w:val="21"/>
          <w:szCs w:val="21"/>
          <w:highlight w:val="none"/>
        </w:rPr>
        <w:t>3、剩余</w:t>
      </w:r>
      <w:r>
        <w:rPr>
          <w:rFonts w:hAnsi="宋体"/>
          <w:color w:val="auto"/>
          <w:sz w:val="21"/>
          <w:szCs w:val="21"/>
          <w:highlight w:val="none"/>
          <w:u w:val="single"/>
        </w:rPr>
        <w:t xml:space="preserve"> 10 </w:t>
      </w:r>
      <w:r>
        <w:rPr>
          <w:rFonts w:hAnsi="宋体"/>
          <w:color w:val="auto"/>
          <w:sz w:val="21"/>
          <w:szCs w:val="21"/>
          <w:highlight w:val="none"/>
        </w:rPr>
        <w:t>% 的勘察费，待该各构筑物工程竣工验收后的7个工作日内付清其余款。</w:t>
      </w:r>
    </w:p>
    <w:p w14:paraId="08D6898C">
      <w:pPr>
        <w:pStyle w:val="14"/>
        <w:spacing w:line="400" w:lineRule="exact"/>
        <w:ind w:firstLine="480"/>
        <w:rPr>
          <w:rFonts w:hint="eastAsia" w:hAnsi="宋体"/>
          <w:color w:val="auto"/>
          <w:sz w:val="21"/>
          <w:szCs w:val="21"/>
          <w:highlight w:val="none"/>
        </w:rPr>
      </w:pPr>
      <w:r>
        <w:rPr>
          <w:rFonts w:hAnsi="宋体"/>
          <w:color w:val="auto"/>
          <w:sz w:val="21"/>
          <w:szCs w:val="21"/>
          <w:highlight w:val="none"/>
        </w:rPr>
        <w:t>4、如遇特殊原因，本项目近期不能实施，勘察费暂支付按实际完成工作量的勘察费总额的</w:t>
      </w:r>
      <w:r>
        <w:rPr>
          <w:rFonts w:hAnsi="宋体"/>
          <w:color w:val="auto"/>
          <w:sz w:val="21"/>
          <w:szCs w:val="21"/>
          <w:highlight w:val="none"/>
          <w:u w:val="single"/>
        </w:rPr>
        <w:t xml:space="preserve"> 70 </w:t>
      </w:r>
      <w:r>
        <w:rPr>
          <w:rFonts w:hAnsi="宋体"/>
          <w:color w:val="auto"/>
          <w:sz w:val="21"/>
          <w:szCs w:val="21"/>
          <w:highlight w:val="none"/>
        </w:rPr>
        <w:t>%，其余部分待本项目实施时依据本条第2、第3款支付。</w:t>
      </w:r>
    </w:p>
    <w:p w14:paraId="68068510">
      <w:pPr>
        <w:pStyle w:val="14"/>
        <w:spacing w:line="400" w:lineRule="exact"/>
        <w:ind w:firstLine="480"/>
        <w:rPr>
          <w:rFonts w:hint="eastAsia" w:hAnsi="宋体"/>
          <w:color w:val="auto"/>
          <w:sz w:val="21"/>
          <w:szCs w:val="21"/>
          <w:highlight w:val="none"/>
        </w:rPr>
      </w:pPr>
      <w:r>
        <w:rPr>
          <w:rFonts w:hint="eastAsia" w:hAnsi="宋体"/>
          <w:color w:val="auto"/>
          <w:sz w:val="21"/>
          <w:szCs w:val="21"/>
          <w:highlight w:val="none"/>
        </w:rPr>
        <w:t>5、在勘察工作实施过程中，甲方（发包人）需对乙方（勘察单位）的勘察工作成果进行验收，将对勘探点的布点位置、数量、深度以及岩土现状进行现场核实，采集勘探点的影像资料，并出具现场验收报告（需经甲、乙双方签字确认）。无现场验收报告或现场验收不合格的，甲方将不予支付勘察费。</w:t>
      </w:r>
    </w:p>
    <w:p w14:paraId="40F8F270">
      <w:pPr>
        <w:pStyle w:val="14"/>
        <w:spacing w:line="400" w:lineRule="exact"/>
        <w:ind w:firstLine="480"/>
        <w:rPr>
          <w:rFonts w:hAnsi="宋体"/>
          <w:bCs/>
          <w:color w:val="auto"/>
          <w:sz w:val="21"/>
          <w:szCs w:val="21"/>
          <w:highlight w:val="none"/>
        </w:rPr>
      </w:pPr>
      <w:r>
        <w:rPr>
          <w:rFonts w:hAnsi="宋体"/>
          <w:bCs/>
          <w:color w:val="auto"/>
          <w:sz w:val="21"/>
          <w:szCs w:val="21"/>
          <w:highlight w:val="none"/>
        </w:rPr>
        <w:t>七、本合同书未尽事宜由双方协商解决。</w:t>
      </w:r>
    </w:p>
    <w:p w14:paraId="5C2C61E6">
      <w:pPr>
        <w:widowControl w:val="0"/>
        <w:spacing w:after="0" w:line="400" w:lineRule="exact"/>
        <w:ind w:firstLine="420" w:firstLineChars="200"/>
        <w:rPr>
          <w:rFonts w:hint="eastAsia" w:ascii="宋体" w:hAnsi="宋体"/>
          <w:bCs/>
          <w:color w:val="auto"/>
          <w:sz w:val="21"/>
          <w:szCs w:val="21"/>
          <w:highlight w:val="none"/>
        </w:rPr>
      </w:pPr>
      <w:r>
        <w:rPr>
          <w:rFonts w:hint="eastAsia" w:ascii="宋体" w:hAnsi="宋体"/>
          <w:bCs/>
          <w:color w:val="auto"/>
          <w:sz w:val="21"/>
          <w:szCs w:val="21"/>
          <w:highlight w:val="none"/>
        </w:rPr>
        <w:t>八、本合同书经双方代表签字并加盖公章后即产生法律效力，勘察费用结清后失效，但不免除勘察人对勘察质量应承担的终身负责责任。双方要恪守信誉，严格履行。</w:t>
      </w:r>
    </w:p>
    <w:p w14:paraId="6C971D9D">
      <w:pPr>
        <w:widowControl w:val="0"/>
        <w:spacing w:after="0" w:line="400" w:lineRule="exact"/>
        <w:ind w:firstLine="420" w:firstLineChars="200"/>
        <w:rPr>
          <w:rFonts w:hint="eastAsia" w:ascii="宋体" w:hAnsi="宋体"/>
          <w:bCs/>
          <w:color w:val="auto"/>
          <w:sz w:val="21"/>
          <w:szCs w:val="21"/>
          <w:highlight w:val="none"/>
        </w:rPr>
      </w:pPr>
      <w:r>
        <w:rPr>
          <w:rFonts w:hAnsi="宋体"/>
          <w:bCs/>
          <w:color w:val="auto"/>
          <w:sz w:val="21"/>
          <w:szCs w:val="21"/>
          <w:highlight w:val="none"/>
        </w:rPr>
        <w:t>九、本合同书一式</w:t>
      </w:r>
      <w:r>
        <w:rPr>
          <w:rFonts w:hint="eastAsia" w:hAnsi="宋体"/>
          <w:bCs/>
          <w:color w:val="auto"/>
          <w:sz w:val="21"/>
          <w:szCs w:val="21"/>
          <w:highlight w:val="none"/>
          <w:u w:val="single"/>
        </w:rPr>
        <w:t xml:space="preserve">  壹拾壹  </w:t>
      </w:r>
      <w:r>
        <w:rPr>
          <w:rFonts w:hAnsi="宋体"/>
          <w:bCs/>
          <w:color w:val="auto"/>
          <w:sz w:val="21"/>
          <w:szCs w:val="21"/>
          <w:highlight w:val="none"/>
        </w:rPr>
        <w:t>份，正本</w:t>
      </w:r>
      <w:r>
        <w:rPr>
          <w:rFonts w:hint="eastAsia" w:hAnsi="宋体"/>
          <w:bCs/>
          <w:color w:val="auto"/>
          <w:sz w:val="21"/>
          <w:szCs w:val="21"/>
          <w:highlight w:val="none"/>
          <w:u w:val="single"/>
        </w:rPr>
        <w:t xml:space="preserve"> 贰 </w:t>
      </w:r>
      <w:r>
        <w:rPr>
          <w:rFonts w:hAnsi="宋体"/>
          <w:bCs/>
          <w:color w:val="auto"/>
          <w:sz w:val="21"/>
          <w:szCs w:val="21"/>
          <w:highlight w:val="none"/>
        </w:rPr>
        <w:t>份，双方各执</w:t>
      </w:r>
      <w:r>
        <w:rPr>
          <w:rFonts w:hint="eastAsia" w:hAnsi="宋体"/>
          <w:bCs/>
          <w:color w:val="auto"/>
          <w:sz w:val="21"/>
          <w:szCs w:val="21"/>
          <w:highlight w:val="none"/>
          <w:u w:val="single"/>
        </w:rPr>
        <w:t>壹</w:t>
      </w:r>
      <w:r>
        <w:rPr>
          <w:rFonts w:hAnsi="宋体"/>
          <w:bCs/>
          <w:color w:val="auto"/>
          <w:sz w:val="21"/>
          <w:szCs w:val="21"/>
          <w:highlight w:val="none"/>
        </w:rPr>
        <w:t>份，副本</w:t>
      </w:r>
      <w:r>
        <w:rPr>
          <w:rFonts w:hint="eastAsia" w:hAnsi="宋体"/>
          <w:bCs/>
          <w:color w:val="auto"/>
          <w:sz w:val="21"/>
          <w:szCs w:val="21"/>
          <w:highlight w:val="none"/>
          <w:u w:val="single"/>
        </w:rPr>
        <w:t xml:space="preserve"> 玖 </w:t>
      </w:r>
      <w:r>
        <w:rPr>
          <w:rFonts w:hAnsi="宋体"/>
          <w:bCs/>
          <w:color w:val="auto"/>
          <w:sz w:val="21"/>
          <w:szCs w:val="21"/>
          <w:highlight w:val="none"/>
        </w:rPr>
        <w:t>份，甲方执</w:t>
      </w:r>
      <w:r>
        <w:rPr>
          <w:rFonts w:hint="eastAsia" w:hAnsi="宋体"/>
          <w:bCs/>
          <w:color w:val="auto"/>
          <w:sz w:val="21"/>
          <w:szCs w:val="21"/>
          <w:highlight w:val="none"/>
          <w:u w:val="single"/>
        </w:rPr>
        <w:t xml:space="preserve"> 伍</w:t>
      </w:r>
      <w:r>
        <w:rPr>
          <w:rFonts w:hAnsi="宋体"/>
          <w:bCs/>
          <w:color w:val="auto"/>
          <w:sz w:val="21"/>
          <w:szCs w:val="21"/>
          <w:highlight w:val="none"/>
        </w:rPr>
        <w:t>份，乙方执</w:t>
      </w:r>
      <w:r>
        <w:rPr>
          <w:rFonts w:hint="eastAsia" w:hAnsi="宋体"/>
          <w:bCs/>
          <w:color w:val="auto"/>
          <w:sz w:val="21"/>
          <w:szCs w:val="21"/>
          <w:highlight w:val="none"/>
          <w:u w:val="single"/>
        </w:rPr>
        <w:t xml:space="preserve">  肆  </w:t>
      </w:r>
      <w:r>
        <w:rPr>
          <w:rFonts w:hAnsi="宋体"/>
          <w:bCs/>
          <w:color w:val="auto"/>
          <w:sz w:val="21"/>
          <w:szCs w:val="21"/>
          <w:highlight w:val="none"/>
        </w:rPr>
        <w:t>份。</w:t>
      </w:r>
    </w:p>
    <w:p w14:paraId="072024EE">
      <w:pPr>
        <w:pStyle w:val="14"/>
        <w:spacing w:line="400" w:lineRule="exact"/>
        <w:ind w:firstLine="631"/>
        <w:rPr>
          <w:rFonts w:hint="eastAsia" w:hAnsi="宋体"/>
          <w:bCs/>
          <w:color w:val="auto"/>
          <w:sz w:val="21"/>
          <w:szCs w:val="21"/>
          <w:highlight w:val="none"/>
          <w:lang w:eastAsia="zh-CN"/>
        </w:rPr>
      </w:pPr>
    </w:p>
    <w:p w14:paraId="6C50BEE9">
      <w:pPr>
        <w:widowControl w:val="0"/>
        <w:spacing w:after="0" w:line="400" w:lineRule="exact"/>
        <w:ind w:firstLine="315" w:firstLineChars="150"/>
        <w:rPr>
          <w:rFonts w:hint="eastAsia" w:ascii="宋体" w:hAnsi="宋体"/>
          <w:color w:val="auto"/>
          <w:sz w:val="21"/>
          <w:szCs w:val="21"/>
          <w:highlight w:val="none"/>
        </w:rPr>
      </w:pPr>
      <w:r>
        <w:rPr>
          <w:rFonts w:hint="eastAsia" w:ascii="宋体" w:hAnsi="宋体"/>
          <w:bCs/>
          <w:color w:val="auto"/>
          <w:sz w:val="21"/>
          <w:szCs w:val="21"/>
          <w:highlight w:val="none"/>
        </w:rPr>
        <w:t>发包人（公章）：                   勘察人（公章）：</w:t>
      </w:r>
      <w:r>
        <w:rPr>
          <w:rFonts w:hint="eastAsia" w:ascii="宋体" w:hAnsi="宋体"/>
          <w:color w:val="auto"/>
          <w:sz w:val="21"/>
          <w:szCs w:val="21"/>
          <w:highlight w:val="none"/>
        </w:rPr>
        <w:t xml:space="preserve"> </w:t>
      </w:r>
    </w:p>
    <w:p w14:paraId="0457B9B5">
      <w:pPr>
        <w:widowControl w:val="0"/>
        <w:spacing w:after="0" w:line="400" w:lineRule="exact"/>
        <w:ind w:firstLine="210" w:firstLineChars="100"/>
        <w:rPr>
          <w:rFonts w:ascii="宋体" w:hAnsi="宋体"/>
          <w:bCs/>
          <w:color w:val="auto"/>
          <w:sz w:val="21"/>
          <w:szCs w:val="21"/>
          <w:highlight w:val="none"/>
        </w:rPr>
      </w:pPr>
      <w:r>
        <w:rPr>
          <w:rFonts w:hint="eastAsia" w:ascii="宋体" w:hAnsi="宋体"/>
          <w:bCs/>
          <w:color w:val="auto"/>
          <w:sz w:val="21"/>
          <w:szCs w:val="21"/>
          <w:highlight w:val="none"/>
        </w:rPr>
        <w:t xml:space="preserve">   </w:t>
      </w:r>
      <w:r>
        <w:rPr>
          <w:rFonts w:ascii="宋体" w:hAnsi="宋体"/>
          <w:bCs/>
          <w:color w:val="auto"/>
          <w:sz w:val="21"/>
          <w:szCs w:val="21"/>
          <w:highlight w:val="none"/>
        </w:rPr>
        <w:t></w:t>
      </w:r>
    </w:p>
    <w:p w14:paraId="6C9A453E">
      <w:pPr>
        <w:widowControl w:val="0"/>
        <w:spacing w:after="0" w:line="400" w:lineRule="exact"/>
        <w:ind w:firstLine="210" w:firstLineChars="100"/>
        <w:rPr>
          <w:rFonts w:hint="eastAsia" w:ascii="宋体" w:hAnsi="宋体"/>
          <w:bCs/>
          <w:color w:val="auto"/>
          <w:sz w:val="21"/>
          <w:szCs w:val="21"/>
          <w:highlight w:val="none"/>
        </w:rPr>
      </w:pPr>
      <w:r>
        <w:rPr>
          <w:rFonts w:ascii="宋体" w:hAnsi="宋体"/>
          <w:bCs/>
          <w:color w:val="auto"/>
          <w:sz w:val="21"/>
          <w:szCs w:val="21"/>
          <w:highlight w:val="none"/>
        </w:rPr>
        <w:t xml:space="preserve">法定代表人（签字或盖章）：          </w:t>
      </w:r>
      <w:r>
        <w:rPr>
          <w:rFonts w:hint="eastAsia" w:ascii="宋体" w:hAnsi="宋体"/>
          <w:bCs/>
          <w:color w:val="auto"/>
          <w:sz w:val="21"/>
          <w:szCs w:val="21"/>
          <w:highlight w:val="none"/>
        </w:rPr>
        <w:t xml:space="preserve"> </w:t>
      </w:r>
      <w:r>
        <w:rPr>
          <w:rFonts w:ascii="宋体" w:hAnsi="宋体"/>
          <w:bCs/>
          <w:color w:val="auto"/>
          <w:sz w:val="21"/>
          <w:szCs w:val="21"/>
          <w:highlight w:val="none"/>
        </w:rPr>
        <w:t>法定代表人（签字或盖章）：</w:t>
      </w:r>
    </w:p>
    <w:p w14:paraId="1689F47E">
      <w:pPr>
        <w:widowControl w:val="0"/>
        <w:spacing w:after="0" w:line="400" w:lineRule="exact"/>
        <w:ind w:firstLine="210" w:firstLineChars="100"/>
        <w:rPr>
          <w:rFonts w:hint="eastAsia" w:ascii="宋体" w:hAnsi="宋体"/>
          <w:bCs/>
          <w:color w:val="auto"/>
          <w:sz w:val="21"/>
          <w:szCs w:val="21"/>
          <w:highlight w:val="none"/>
        </w:rPr>
      </w:pPr>
    </w:p>
    <w:p w14:paraId="7967EB9A">
      <w:pPr>
        <w:widowControl w:val="0"/>
        <w:spacing w:after="0" w:line="400" w:lineRule="exact"/>
        <w:ind w:firstLine="210" w:firstLineChars="100"/>
        <w:rPr>
          <w:rFonts w:ascii="宋体" w:hAnsi="宋体"/>
          <w:bCs/>
          <w:color w:val="auto"/>
          <w:sz w:val="21"/>
          <w:szCs w:val="21"/>
          <w:highlight w:val="none"/>
        </w:rPr>
      </w:pPr>
      <w:r>
        <w:rPr>
          <w:rFonts w:ascii="宋体" w:hAnsi="宋体"/>
          <w:bCs/>
          <w:color w:val="auto"/>
          <w:sz w:val="21"/>
          <w:szCs w:val="21"/>
          <w:highlight w:val="none"/>
        </w:rPr>
        <w:t>地  址：</w:t>
      </w:r>
      <w:r>
        <w:rPr>
          <w:rFonts w:hint="eastAsia" w:ascii="宋体" w:hAnsi="宋体"/>
          <w:bCs/>
          <w:color w:val="auto"/>
          <w:sz w:val="21"/>
          <w:szCs w:val="21"/>
          <w:highlight w:val="none"/>
        </w:rPr>
        <w:t xml:space="preserve">    </w:t>
      </w:r>
      <w:r>
        <w:rPr>
          <w:rFonts w:ascii="宋体" w:hAnsi="宋体"/>
          <w:bCs/>
          <w:color w:val="auto"/>
          <w:sz w:val="21"/>
          <w:szCs w:val="21"/>
          <w:highlight w:val="none"/>
        </w:rPr>
        <w:t xml:space="preserve">地  址： </w:t>
      </w:r>
    </w:p>
    <w:p w14:paraId="067CD46F">
      <w:pPr>
        <w:widowControl w:val="0"/>
        <w:spacing w:after="0" w:line="400" w:lineRule="exact"/>
        <w:ind w:firstLine="210" w:firstLineChars="100"/>
        <w:rPr>
          <w:rFonts w:ascii="宋体" w:hAnsi="宋体"/>
          <w:bCs/>
          <w:color w:val="auto"/>
          <w:sz w:val="21"/>
          <w:szCs w:val="21"/>
          <w:highlight w:val="none"/>
        </w:rPr>
      </w:pPr>
      <w:r>
        <w:rPr>
          <w:rFonts w:hint="eastAsia" w:ascii="宋体" w:hAnsi="宋体"/>
          <w:bCs/>
          <w:color w:val="auto"/>
          <w:sz w:val="21"/>
          <w:szCs w:val="21"/>
          <w:highlight w:val="none"/>
        </w:rPr>
        <w:t xml:space="preserve">       </w:t>
      </w:r>
      <w:r>
        <w:rPr>
          <w:rFonts w:ascii="宋体" w:hAnsi="宋体"/>
          <w:bCs/>
          <w:color w:val="auto"/>
          <w:sz w:val="21"/>
          <w:szCs w:val="21"/>
          <w:highlight w:val="none"/>
        </w:rPr>
        <w:t xml:space="preserve">   </w:t>
      </w:r>
      <w:r>
        <w:rPr>
          <w:rFonts w:hint="eastAsia" w:ascii="宋体" w:hAnsi="宋体"/>
          <w:bCs/>
          <w:color w:val="auto"/>
          <w:sz w:val="21"/>
          <w:szCs w:val="21"/>
          <w:highlight w:val="none"/>
        </w:rPr>
        <w:t xml:space="preserve">                   </w:t>
      </w:r>
      <w:r>
        <w:rPr>
          <w:rFonts w:ascii="宋体" w:hAnsi="宋体"/>
          <w:bCs/>
          <w:color w:val="auto"/>
          <w:sz w:val="21"/>
          <w:szCs w:val="21"/>
          <w:highlight w:val="none"/>
        </w:rPr>
        <w:t xml:space="preserve">          </w:t>
      </w:r>
    </w:p>
    <w:p w14:paraId="22490D01">
      <w:pPr>
        <w:widowControl w:val="0"/>
        <w:spacing w:after="0" w:line="400" w:lineRule="exact"/>
        <w:ind w:firstLine="210" w:firstLineChars="100"/>
        <w:rPr>
          <w:rFonts w:hint="eastAsia" w:ascii="宋体" w:hAnsi="宋体"/>
          <w:bCs/>
          <w:color w:val="auto"/>
          <w:sz w:val="21"/>
          <w:szCs w:val="21"/>
          <w:highlight w:val="none"/>
        </w:rPr>
      </w:pPr>
      <w:r>
        <w:rPr>
          <w:rFonts w:ascii="宋体" w:hAnsi="宋体"/>
          <w:bCs/>
          <w:color w:val="auto"/>
          <w:sz w:val="21"/>
          <w:szCs w:val="21"/>
          <w:highlight w:val="none"/>
        </w:rPr>
        <w:t>经办人：                                经办人</w:t>
      </w:r>
      <w:r>
        <w:rPr>
          <w:rFonts w:hint="eastAsia" w:ascii="宋体" w:hAnsi="宋体"/>
          <w:bCs/>
          <w:color w:val="auto"/>
          <w:sz w:val="21"/>
          <w:szCs w:val="21"/>
          <w:highlight w:val="none"/>
        </w:rPr>
        <w:t xml:space="preserve">： </w:t>
      </w:r>
    </w:p>
    <w:p w14:paraId="2221CF5F">
      <w:pPr>
        <w:widowControl w:val="0"/>
        <w:spacing w:after="0" w:line="400" w:lineRule="exact"/>
        <w:ind w:firstLine="210" w:firstLineChars="100"/>
        <w:rPr>
          <w:rFonts w:ascii="宋体" w:hAnsi="宋体"/>
          <w:color w:val="auto"/>
          <w:sz w:val="21"/>
          <w:szCs w:val="21"/>
          <w:highlight w:val="none"/>
        </w:rPr>
      </w:pPr>
      <w:r>
        <w:rPr>
          <w:rFonts w:ascii="宋体" w:hAnsi="宋体"/>
          <w:bCs/>
          <w:color w:val="auto"/>
          <w:sz w:val="21"/>
          <w:szCs w:val="21"/>
          <w:highlight w:val="none"/>
        </w:rPr>
        <w:t xml:space="preserve">电  话：     </w:t>
      </w:r>
      <w:r>
        <w:rPr>
          <w:rFonts w:hint="eastAsia" w:ascii="宋体" w:hAnsi="宋体"/>
          <w:bCs/>
          <w:color w:val="auto"/>
          <w:sz w:val="21"/>
          <w:szCs w:val="21"/>
          <w:highlight w:val="none"/>
        </w:rPr>
        <w:t xml:space="preserve">   </w:t>
      </w:r>
      <w:r>
        <w:rPr>
          <w:rFonts w:ascii="宋体" w:hAnsi="宋体"/>
          <w:bCs/>
          <w:color w:val="auto"/>
          <w:sz w:val="21"/>
          <w:szCs w:val="21"/>
          <w:highlight w:val="none"/>
        </w:rPr>
        <w:t xml:space="preserve">            电  话</w:t>
      </w:r>
      <w:r>
        <w:rPr>
          <w:rFonts w:hint="eastAsia" w:ascii="宋体" w:hAnsi="宋体"/>
          <w:bCs/>
          <w:color w:val="auto"/>
          <w:sz w:val="21"/>
          <w:szCs w:val="21"/>
          <w:highlight w:val="none"/>
        </w:rPr>
        <w:t>：</w:t>
      </w:r>
    </w:p>
    <w:p w14:paraId="5AC765DC">
      <w:pPr>
        <w:widowControl w:val="0"/>
        <w:spacing w:after="0" w:line="400" w:lineRule="exact"/>
        <w:ind w:firstLine="210" w:firstLineChars="100"/>
        <w:rPr>
          <w:color w:val="auto"/>
          <w:sz w:val="21"/>
          <w:szCs w:val="21"/>
          <w:highlight w:val="none"/>
        </w:rPr>
      </w:pPr>
      <w:r>
        <w:rPr>
          <w:rFonts w:ascii="宋体" w:hAnsi="宋体"/>
          <w:bCs/>
          <w:color w:val="auto"/>
          <w:sz w:val="21"/>
          <w:szCs w:val="21"/>
          <w:highlight w:val="none"/>
        </w:rPr>
        <w:t>传  真：</w:t>
      </w:r>
      <w:r>
        <w:rPr>
          <w:rFonts w:hint="eastAsia" w:ascii="宋体" w:hAnsi="宋体"/>
          <w:bCs/>
          <w:color w:val="auto"/>
          <w:sz w:val="21"/>
          <w:szCs w:val="21"/>
          <w:highlight w:val="none"/>
          <w:lang w:val="en-US" w:eastAsia="zh-CN"/>
        </w:rPr>
        <w:t xml:space="preserve"> </w:t>
      </w:r>
      <w:r>
        <w:rPr>
          <w:rFonts w:ascii="宋体" w:hAnsi="宋体"/>
          <w:bCs/>
          <w:color w:val="auto"/>
          <w:sz w:val="21"/>
          <w:szCs w:val="21"/>
          <w:highlight w:val="none"/>
        </w:rPr>
        <w:t xml:space="preserve">                 </w:t>
      </w:r>
      <w:r>
        <w:rPr>
          <w:rFonts w:hint="eastAsia" w:ascii="宋体" w:hAnsi="宋体"/>
          <w:bCs/>
          <w:color w:val="auto"/>
          <w:sz w:val="21"/>
          <w:szCs w:val="21"/>
          <w:highlight w:val="none"/>
        </w:rPr>
        <w:t xml:space="preserve"> </w:t>
      </w:r>
      <w:r>
        <w:rPr>
          <w:rFonts w:ascii="宋体" w:hAnsi="宋体"/>
          <w:bCs/>
          <w:color w:val="auto"/>
          <w:sz w:val="21"/>
          <w:szCs w:val="21"/>
          <w:highlight w:val="none"/>
        </w:rPr>
        <w:t>传  真</w:t>
      </w:r>
      <w:r>
        <w:rPr>
          <w:rFonts w:hint="eastAsia" w:ascii="宋体" w:hAnsi="宋体"/>
          <w:bCs/>
          <w:color w:val="auto"/>
          <w:sz w:val="21"/>
          <w:szCs w:val="21"/>
          <w:highlight w:val="none"/>
        </w:rPr>
        <w:t>:</w:t>
      </w:r>
    </w:p>
    <w:p w14:paraId="013DAEA7">
      <w:pPr>
        <w:widowControl w:val="0"/>
        <w:spacing w:after="0" w:line="400" w:lineRule="exact"/>
        <w:ind w:firstLine="210" w:firstLineChars="100"/>
        <w:rPr>
          <w:rFonts w:hint="eastAsia" w:ascii="宋体" w:hAnsi="宋体"/>
          <w:bCs/>
          <w:color w:val="auto"/>
          <w:sz w:val="21"/>
          <w:szCs w:val="21"/>
          <w:highlight w:val="none"/>
        </w:rPr>
      </w:pPr>
      <w:r>
        <w:rPr>
          <w:rFonts w:ascii="宋体" w:hAnsi="宋体"/>
          <w:bCs/>
          <w:color w:val="auto"/>
          <w:sz w:val="21"/>
          <w:szCs w:val="21"/>
          <w:highlight w:val="none"/>
        </w:rPr>
        <w:t xml:space="preserve">电子信箱：                             </w:t>
      </w:r>
      <w:r>
        <w:rPr>
          <w:rFonts w:hint="eastAsia" w:ascii="宋体" w:hAnsi="宋体"/>
          <w:bCs/>
          <w:color w:val="auto"/>
          <w:sz w:val="21"/>
          <w:szCs w:val="21"/>
          <w:highlight w:val="none"/>
        </w:rPr>
        <w:t xml:space="preserve"> </w:t>
      </w:r>
      <w:r>
        <w:rPr>
          <w:rFonts w:ascii="宋体" w:hAnsi="宋体"/>
          <w:bCs/>
          <w:color w:val="auto"/>
          <w:sz w:val="21"/>
          <w:szCs w:val="21"/>
          <w:highlight w:val="none"/>
        </w:rPr>
        <w:t>电子信箱：</w:t>
      </w:r>
      <w:r>
        <w:rPr>
          <w:rFonts w:hint="eastAsia" w:ascii="宋体" w:hAnsi="宋体"/>
          <w:bCs/>
          <w:color w:val="auto"/>
          <w:sz w:val="21"/>
          <w:szCs w:val="21"/>
          <w:highlight w:val="none"/>
        </w:rPr>
        <w:t xml:space="preserve"> </w:t>
      </w:r>
    </w:p>
    <w:p w14:paraId="2CB07C73">
      <w:pPr>
        <w:widowControl w:val="0"/>
        <w:spacing w:after="0" w:line="400" w:lineRule="exact"/>
        <w:ind w:firstLine="210" w:firstLineChars="100"/>
        <w:rPr>
          <w:rFonts w:hint="eastAsia" w:ascii="宋体" w:hAnsi="宋体"/>
          <w:bCs/>
          <w:color w:val="auto"/>
          <w:sz w:val="21"/>
          <w:szCs w:val="21"/>
          <w:highlight w:val="none"/>
        </w:rPr>
      </w:pPr>
      <w:r>
        <w:rPr>
          <w:rFonts w:ascii="宋体" w:hAnsi="宋体"/>
          <w:bCs/>
          <w:color w:val="auto"/>
          <w:sz w:val="21"/>
          <w:szCs w:val="21"/>
          <w:highlight w:val="none"/>
        </w:rPr>
        <w:t>开户银行：</w:t>
      </w:r>
      <w:r>
        <w:rPr>
          <w:rFonts w:hint="eastAsia" w:ascii="宋体" w:hAnsi="宋体"/>
          <w:bCs/>
          <w:color w:val="auto"/>
          <w:sz w:val="21"/>
          <w:szCs w:val="21"/>
          <w:highlight w:val="none"/>
        </w:rPr>
        <w:t xml:space="preserve">            </w:t>
      </w:r>
      <w:r>
        <w:rPr>
          <w:rFonts w:ascii="宋体" w:hAnsi="宋体"/>
          <w:bCs/>
          <w:color w:val="auto"/>
          <w:sz w:val="21"/>
          <w:szCs w:val="21"/>
          <w:highlight w:val="none"/>
        </w:rPr>
        <w:t xml:space="preserve">                </w:t>
      </w:r>
      <w:r>
        <w:rPr>
          <w:rFonts w:hint="eastAsia" w:ascii="宋体" w:hAnsi="宋体"/>
          <w:bCs/>
          <w:color w:val="auto"/>
          <w:sz w:val="21"/>
          <w:szCs w:val="21"/>
          <w:highlight w:val="none"/>
        </w:rPr>
        <w:t xml:space="preserve">  </w:t>
      </w:r>
      <w:r>
        <w:rPr>
          <w:rFonts w:ascii="宋体" w:hAnsi="宋体"/>
          <w:bCs/>
          <w:color w:val="auto"/>
          <w:sz w:val="21"/>
          <w:szCs w:val="21"/>
          <w:highlight w:val="none"/>
        </w:rPr>
        <w:t>开户银行：</w:t>
      </w:r>
      <w:r>
        <w:rPr>
          <w:rFonts w:hint="eastAsia" w:ascii="宋体" w:hAnsi="宋体"/>
          <w:bCs/>
          <w:color w:val="auto"/>
          <w:sz w:val="21"/>
          <w:szCs w:val="21"/>
          <w:highlight w:val="none"/>
        </w:rPr>
        <w:t xml:space="preserve"> </w:t>
      </w:r>
    </w:p>
    <w:p w14:paraId="6779C6F4">
      <w:pPr>
        <w:widowControl w:val="0"/>
        <w:spacing w:after="0" w:line="400" w:lineRule="exact"/>
        <w:ind w:firstLine="210" w:firstLineChars="100"/>
        <w:rPr>
          <w:rFonts w:hint="eastAsia" w:ascii="宋体" w:hAnsi="宋体"/>
          <w:bCs/>
          <w:color w:val="auto"/>
          <w:sz w:val="21"/>
          <w:szCs w:val="21"/>
          <w:highlight w:val="none"/>
        </w:rPr>
      </w:pPr>
      <w:r>
        <w:rPr>
          <w:rFonts w:ascii="宋体" w:hAnsi="宋体"/>
          <w:bCs/>
          <w:color w:val="auto"/>
          <w:sz w:val="21"/>
          <w:szCs w:val="21"/>
          <w:highlight w:val="none"/>
        </w:rPr>
        <w:t xml:space="preserve">账  号：                               </w:t>
      </w:r>
      <w:r>
        <w:rPr>
          <w:rFonts w:hint="eastAsia" w:ascii="宋体" w:hAnsi="宋体"/>
          <w:bCs/>
          <w:color w:val="auto"/>
          <w:sz w:val="21"/>
          <w:szCs w:val="21"/>
          <w:highlight w:val="none"/>
        </w:rPr>
        <w:t xml:space="preserve"> </w:t>
      </w:r>
      <w:r>
        <w:rPr>
          <w:rFonts w:ascii="宋体" w:hAnsi="宋体"/>
          <w:bCs/>
          <w:color w:val="auto"/>
          <w:sz w:val="21"/>
          <w:szCs w:val="21"/>
          <w:highlight w:val="none"/>
        </w:rPr>
        <w:t>账  号：</w:t>
      </w:r>
    </w:p>
    <w:p w14:paraId="5A672CC9">
      <w:pPr>
        <w:widowControl w:val="0"/>
        <w:spacing w:after="0" w:line="400" w:lineRule="exact"/>
        <w:ind w:firstLine="210" w:firstLineChars="100"/>
        <w:rPr>
          <w:rFonts w:hint="eastAsia" w:ascii="宋体" w:hAnsi="宋体"/>
          <w:bCs/>
          <w:color w:val="auto"/>
          <w:sz w:val="21"/>
          <w:szCs w:val="21"/>
          <w:highlight w:val="none"/>
        </w:rPr>
      </w:pPr>
      <w:r>
        <w:rPr>
          <w:rFonts w:ascii="宋体" w:hAnsi="宋体"/>
          <w:bCs/>
          <w:color w:val="auto"/>
          <w:sz w:val="21"/>
          <w:szCs w:val="21"/>
          <w:highlight w:val="none"/>
        </w:rPr>
        <w:t>邮政编码：                 邮政编码</w:t>
      </w:r>
      <w:r>
        <w:rPr>
          <w:rFonts w:hint="eastAsia" w:ascii="宋体" w:hAnsi="宋体"/>
          <w:bCs/>
          <w:color w:val="auto"/>
          <w:sz w:val="21"/>
          <w:szCs w:val="21"/>
          <w:highlight w:val="none"/>
        </w:rPr>
        <w:t xml:space="preserve">： </w:t>
      </w:r>
    </w:p>
    <w:p w14:paraId="4ADF7632">
      <w:pPr>
        <w:widowControl w:val="0"/>
        <w:spacing w:after="0" w:line="400" w:lineRule="exact"/>
        <w:ind w:firstLine="210" w:firstLineChars="100"/>
        <w:rPr>
          <w:rFonts w:ascii="宋体" w:hAnsi="宋体"/>
          <w:bCs/>
          <w:color w:val="auto"/>
          <w:sz w:val="21"/>
          <w:szCs w:val="21"/>
          <w:highlight w:val="none"/>
        </w:rPr>
      </w:pPr>
    </w:p>
    <w:p w14:paraId="0DE2242F">
      <w:pPr>
        <w:pStyle w:val="14"/>
        <w:spacing w:line="400" w:lineRule="exact"/>
        <w:jc w:val="center"/>
        <w:rPr>
          <w:rFonts w:ascii="FangSong_GB2312" w:hAnsi="宋体" w:eastAsia="FangSong_GB2312"/>
          <w:b/>
          <w:bCs/>
          <w:color w:val="auto"/>
          <w:sz w:val="21"/>
          <w:szCs w:val="21"/>
          <w:highlight w:val="none"/>
        </w:rPr>
      </w:pPr>
      <w:r>
        <w:rPr>
          <w:rFonts w:ascii="FangSong_GB2312" w:hAnsi="宋体" w:eastAsia="FangSong_GB2312"/>
          <w:b/>
          <w:bCs/>
          <w:color w:val="auto"/>
          <w:sz w:val="21"/>
          <w:szCs w:val="21"/>
          <w:highlight w:val="none"/>
          <w:lang w:val="en-US"/>
        </w:rPr>
        <w:br w:type="page"/>
      </w:r>
      <w:r>
        <w:rPr>
          <w:rFonts w:hint="eastAsia" w:hAnsi="宋体" w:cs="宋体"/>
          <w:b/>
          <w:bCs/>
          <w:color w:val="auto"/>
          <w:kern w:val="2"/>
          <w:sz w:val="36"/>
          <w:szCs w:val="36"/>
          <w:highlight w:val="none"/>
          <w:lang w:val="en-US" w:eastAsia="zh-CN"/>
        </w:rPr>
        <w:t>二、勘察合同通用条款</w:t>
      </w:r>
    </w:p>
    <w:p w14:paraId="0D2C8FA8">
      <w:pPr>
        <w:pStyle w:val="14"/>
        <w:spacing w:line="400" w:lineRule="exact"/>
        <w:rPr>
          <w:rFonts w:hAnsi="宋体"/>
          <w:b/>
          <w:bCs/>
          <w:color w:val="auto"/>
          <w:sz w:val="21"/>
          <w:szCs w:val="21"/>
          <w:highlight w:val="none"/>
        </w:rPr>
      </w:pPr>
      <w:r>
        <w:rPr>
          <w:rFonts w:hAnsi="宋体"/>
          <w:b/>
          <w:bCs/>
          <w:color w:val="auto"/>
          <w:sz w:val="21"/>
          <w:szCs w:val="21"/>
          <w:highlight w:val="none"/>
        </w:rPr>
        <w:t>1.概述</w:t>
      </w:r>
    </w:p>
    <w:p w14:paraId="1BE16EFE">
      <w:pPr>
        <w:pStyle w:val="14"/>
        <w:spacing w:line="400" w:lineRule="exact"/>
        <w:rPr>
          <w:rFonts w:hAnsi="宋体"/>
          <w:bCs/>
          <w:color w:val="auto"/>
          <w:sz w:val="21"/>
          <w:szCs w:val="21"/>
          <w:highlight w:val="none"/>
        </w:rPr>
      </w:pPr>
      <w:r>
        <w:rPr>
          <w:rFonts w:hAnsi="宋体"/>
          <w:bCs/>
          <w:color w:val="auto"/>
          <w:sz w:val="21"/>
          <w:szCs w:val="21"/>
          <w:highlight w:val="none"/>
        </w:rPr>
        <w:t xml:space="preserve">    1.1  定义</w:t>
      </w:r>
    </w:p>
    <w:p w14:paraId="53AD0F7E">
      <w:pPr>
        <w:pStyle w:val="14"/>
        <w:spacing w:line="400" w:lineRule="exact"/>
        <w:ind w:firstLine="420" w:firstLineChars="200"/>
        <w:rPr>
          <w:rFonts w:hAnsi="宋体"/>
          <w:bCs/>
          <w:color w:val="auto"/>
          <w:sz w:val="21"/>
          <w:szCs w:val="21"/>
          <w:highlight w:val="none"/>
        </w:rPr>
      </w:pPr>
      <w:r>
        <w:rPr>
          <w:rFonts w:hAnsi="宋体"/>
          <w:bCs/>
          <w:color w:val="auto"/>
          <w:sz w:val="21"/>
          <w:szCs w:val="21"/>
          <w:highlight w:val="none"/>
        </w:rPr>
        <w:t>建设项目勘察招投标合同文本中以下的用词及词语除根据上下文另有要求外，应具有本条所赋予的含义：</w:t>
      </w:r>
    </w:p>
    <w:p w14:paraId="61BD4331">
      <w:pPr>
        <w:pStyle w:val="14"/>
        <w:spacing w:line="400" w:lineRule="exact"/>
        <w:rPr>
          <w:rFonts w:hAnsi="宋体"/>
          <w:bCs/>
          <w:color w:val="auto"/>
          <w:sz w:val="21"/>
          <w:szCs w:val="21"/>
          <w:highlight w:val="none"/>
        </w:rPr>
      </w:pPr>
      <w:r>
        <w:rPr>
          <w:rFonts w:hAnsi="宋体"/>
          <w:bCs/>
          <w:color w:val="auto"/>
          <w:sz w:val="21"/>
          <w:szCs w:val="21"/>
          <w:highlight w:val="none"/>
        </w:rPr>
        <w:t xml:space="preserve">    1.1.1  合同：指本合同条件(通用条款和专用条款)、中标通知书、协议书以及其它明确列入中标通知书或协议书中的此类进一步的文件；</w:t>
      </w:r>
    </w:p>
    <w:p w14:paraId="3D526DF1">
      <w:pPr>
        <w:pStyle w:val="14"/>
        <w:spacing w:line="400" w:lineRule="exact"/>
        <w:rPr>
          <w:rFonts w:hAnsi="宋体"/>
          <w:bCs/>
          <w:color w:val="auto"/>
          <w:sz w:val="21"/>
          <w:szCs w:val="21"/>
          <w:highlight w:val="none"/>
        </w:rPr>
      </w:pPr>
      <w:r>
        <w:rPr>
          <w:rFonts w:hAnsi="宋体"/>
          <w:bCs/>
          <w:color w:val="auto"/>
          <w:sz w:val="21"/>
          <w:szCs w:val="21"/>
          <w:highlight w:val="none"/>
        </w:rPr>
        <w:t xml:space="preserve">    1.1.2</w:t>
      </w:r>
      <w:r>
        <w:rPr>
          <w:rFonts w:hint="eastAsia" w:hAnsi="宋体"/>
          <w:bCs/>
          <w:color w:val="auto"/>
          <w:sz w:val="21"/>
          <w:szCs w:val="21"/>
          <w:highlight w:val="none"/>
        </w:rPr>
        <w:t xml:space="preserve">  </w:t>
      </w:r>
      <w:r>
        <w:rPr>
          <w:rFonts w:hAnsi="宋体"/>
          <w:bCs/>
          <w:color w:val="auto"/>
          <w:sz w:val="21"/>
          <w:szCs w:val="21"/>
          <w:highlight w:val="none"/>
        </w:rPr>
        <w:t>建筑工程：是指由国家投资、地方筹资、社会配资、利用外资以及其它投资方式建设的建筑工程。本次进行勘察设计的建筑工程在合同专用条款中指明。</w:t>
      </w:r>
    </w:p>
    <w:p w14:paraId="217D4EDE">
      <w:pPr>
        <w:pStyle w:val="14"/>
        <w:spacing w:line="400" w:lineRule="exact"/>
        <w:rPr>
          <w:rFonts w:hAnsi="宋体"/>
          <w:bCs/>
          <w:color w:val="auto"/>
          <w:sz w:val="21"/>
          <w:szCs w:val="21"/>
          <w:highlight w:val="none"/>
        </w:rPr>
      </w:pPr>
      <w:r>
        <w:rPr>
          <w:rFonts w:hAnsi="宋体"/>
          <w:bCs/>
          <w:color w:val="auto"/>
          <w:sz w:val="21"/>
          <w:szCs w:val="21"/>
          <w:highlight w:val="none"/>
        </w:rPr>
        <w:t xml:space="preserve">    1.1.3  业主：即合同书中的“甲方”，是指本合同条款中指明的执行建设项目投资计划的单位，或其指定的负责管理建设项目的代表机构，以及取得该当事人(单位)资格的合法继承人。本合同的业主为合同专用条款中指明的项目法人。</w:t>
      </w:r>
    </w:p>
    <w:p w14:paraId="7A0268A0">
      <w:pPr>
        <w:pStyle w:val="14"/>
        <w:spacing w:line="400" w:lineRule="exact"/>
        <w:ind w:firstLine="480"/>
        <w:rPr>
          <w:rFonts w:hAnsi="宋体"/>
          <w:bCs/>
          <w:color w:val="auto"/>
          <w:sz w:val="21"/>
          <w:szCs w:val="21"/>
          <w:highlight w:val="none"/>
        </w:rPr>
      </w:pPr>
      <w:r>
        <w:rPr>
          <w:rFonts w:hAnsi="宋体"/>
          <w:bCs/>
          <w:color w:val="auto"/>
          <w:sz w:val="21"/>
          <w:szCs w:val="21"/>
          <w:highlight w:val="none"/>
        </w:rPr>
        <w:t>1.1.4</w:t>
      </w:r>
      <w:r>
        <w:rPr>
          <w:rFonts w:hint="eastAsia" w:hAnsi="宋体"/>
          <w:bCs/>
          <w:color w:val="auto"/>
          <w:sz w:val="21"/>
          <w:szCs w:val="21"/>
          <w:highlight w:val="none"/>
        </w:rPr>
        <w:t xml:space="preserve">  </w:t>
      </w:r>
      <w:r>
        <w:rPr>
          <w:rFonts w:hAnsi="宋体"/>
          <w:bCs/>
          <w:color w:val="auto"/>
          <w:sz w:val="21"/>
          <w:szCs w:val="21"/>
          <w:highlight w:val="none"/>
        </w:rPr>
        <w:t>勘察人：即合同书中的“乙方”，是指与业主签订了合同书承担本合同工程地质勘察的机构。本合同的勘察人为合同专用条款中指明的勘察机构。</w:t>
      </w:r>
    </w:p>
    <w:p w14:paraId="1E0080D8">
      <w:pPr>
        <w:pStyle w:val="14"/>
        <w:spacing w:line="400" w:lineRule="exact"/>
        <w:ind w:firstLine="480"/>
        <w:rPr>
          <w:rFonts w:hAnsi="宋体"/>
          <w:bCs/>
          <w:color w:val="auto"/>
          <w:sz w:val="21"/>
          <w:szCs w:val="21"/>
          <w:highlight w:val="none"/>
        </w:rPr>
      </w:pPr>
      <w:r>
        <w:rPr>
          <w:rFonts w:hAnsi="宋体"/>
          <w:bCs/>
          <w:color w:val="auto"/>
          <w:sz w:val="21"/>
          <w:szCs w:val="21"/>
          <w:highlight w:val="none"/>
        </w:rPr>
        <w:t>1.1.5</w:t>
      </w:r>
      <w:r>
        <w:rPr>
          <w:rFonts w:hint="eastAsia" w:hAnsi="宋体"/>
          <w:bCs/>
          <w:color w:val="auto"/>
          <w:sz w:val="21"/>
          <w:szCs w:val="21"/>
          <w:highlight w:val="none"/>
        </w:rPr>
        <w:t xml:space="preserve">  </w:t>
      </w:r>
      <w:r>
        <w:rPr>
          <w:rFonts w:hAnsi="宋体"/>
          <w:bCs/>
          <w:color w:val="auto"/>
          <w:sz w:val="21"/>
          <w:szCs w:val="21"/>
          <w:highlight w:val="none"/>
        </w:rPr>
        <w:t>分包人：是指经业主批准，具有相应资质，承担勘察合同中非主体、非关键性工作的勘察咨询机构。</w:t>
      </w:r>
    </w:p>
    <w:p w14:paraId="5B047D6A">
      <w:pPr>
        <w:widowControl w:val="0"/>
        <w:spacing w:after="0" w:line="400" w:lineRule="exact"/>
        <w:ind w:firstLine="420" w:firstLineChars="200"/>
        <w:rPr>
          <w:rFonts w:hint="eastAsia" w:ascii="宋体" w:hAnsi="宋体"/>
          <w:bCs/>
          <w:color w:val="auto"/>
          <w:sz w:val="21"/>
          <w:szCs w:val="21"/>
          <w:highlight w:val="none"/>
        </w:rPr>
      </w:pPr>
      <w:r>
        <w:rPr>
          <w:rFonts w:hint="eastAsia" w:ascii="宋体" w:hAnsi="宋体"/>
          <w:bCs/>
          <w:color w:val="auto"/>
          <w:sz w:val="21"/>
          <w:szCs w:val="21"/>
          <w:highlight w:val="none"/>
        </w:rPr>
        <w:t>1.1.6  项目负责人：是指由勘察人书面委任的负责本合同工程勘察的组织管理者。</w:t>
      </w:r>
    </w:p>
    <w:p w14:paraId="69E9FB07">
      <w:pPr>
        <w:pStyle w:val="14"/>
        <w:spacing w:line="400" w:lineRule="exact"/>
        <w:ind w:firstLine="480"/>
        <w:rPr>
          <w:rFonts w:hAnsi="宋体"/>
          <w:bCs/>
          <w:color w:val="auto"/>
          <w:sz w:val="21"/>
          <w:szCs w:val="21"/>
          <w:highlight w:val="none"/>
        </w:rPr>
      </w:pPr>
      <w:r>
        <w:rPr>
          <w:rFonts w:hAnsi="宋体"/>
          <w:bCs/>
          <w:color w:val="auto"/>
          <w:sz w:val="21"/>
          <w:szCs w:val="21"/>
          <w:highlight w:val="none"/>
        </w:rPr>
        <w:t>分项负责人：是指由项目负责人提名，勘察人批准的各专业勘察负责人。</w:t>
      </w:r>
    </w:p>
    <w:p w14:paraId="33493EF0">
      <w:pPr>
        <w:pStyle w:val="14"/>
        <w:spacing w:line="400" w:lineRule="exact"/>
        <w:ind w:firstLine="480"/>
        <w:rPr>
          <w:rFonts w:hAnsi="宋体"/>
          <w:bCs/>
          <w:color w:val="auto"/>
          <w:sz w:val="21"/>
          <w:szCs w:val="21"/>
          <w:highlight w:val="none"/>
        </w:rPr>
      </w:pPr>
      <w:r>
        <w:rPr>
          <w:rFonts w:hAnsi="宋体"/>
          <w:bCs/>
          <w:color w:val="auto"/>
          <w:sz w:val="21"/>
          <w:szCs w:val="21"/>
          <w:highlight w:val="none"/>
        </w:rPr>
        <w:t>1.1.7  勘察合同：是指勘察合同书、中标通知书（或委托书）、勘察合同条款、勘察设计技术标准与规范、勘察工作量及报价清单，以及构成合同组成部分的其它文件。</w:t>
      </w:r>
    </w:p>
    <w:p w14:paraId="4F5B4E42">
      <w:pPr>
        <w:pStyle w:val="14"/>
        <w:spacing w:line="400" w:lineRule="exact"/>
        <w:ind w:firstLine="480"/>
        <w:rPr>
          <w:rFonts w:hAnsi="宋体"/>
          <w:bCs/>
          <w:color w:val="auto"/>
          <w:sz w:val="21"/>
          <w:szCs w:val="21"/>
          <w:highlight w:val="none"/>
        </w:rPr>
      </w:pPr>
      <w:r>
        <w:rPr>
          <w:rFonts w:hAnsi="宋体"/>
          <w:bCs/>
          <w:color w:val="auto"/>
          <w:sz w:val="21"/>
          <w:szCs w:val="21"/>
          <w:highlight w:val="none"/>
        </w:rPr>
        <w:t>1.1.8  勘察设计技术标准与规范：是勘察设计工作的依据，指中华人民共和国国家标准和建设部、交通部等关于工程勘察设计方面的现行标准、规范、规程、定额、办法、示例等，以及业主有关勘察设计的书面要求。</w:t>
      </w:r>
    </w:p>
    <w:p w14:paraId="2EABF08E">
      <w:pPr>
        <w:pStyle w:val="14"/>
        <w:spacing w:line="400" w:lineRule="exact"/>
        <w:ind w:firstLine="480"/>
        <w:rPr>
          <w:rFonts w:hAnsi="宋体"/>
          <w:bCs/>
          <w:color w:val="auto"/>
          <w:sz w:val="21"/>
          <w:szCs w:val="21"/>
          <w:highlight w:val="none"/>
        </w:rPr>
      </w:pPr>
      <w:r>
        <w:rPr>
          <w:rFonts w:hAnsi="宋体"/>
          <w:bCs/>
          <w:color w:val="auto"/>
          <w:sz w:val="21"/>
          <w:szCs w:val="21"/>
          <w:highlight w:val="none"/>
        </w:rPr>
        <w:t>1.1.9</w:t>
      </w:r>
      <w:r>
        <w:rPr>
          <w:rFonts w:hint="eastAsia" w:hAnsi="宋体"/>
          <w:bCs/>
          <w:color w:val="auto"/>
          <w:sz w:val="21"/>
          <w:szCs w:val="21"/>
          <w:highlight w:val="none"/>
        </w:rPr>
        <w:t xml:space="preserve">  </w:t>
      </w:r>
      <w:r>
        <w:rPr>
          <w:rFonts w:hAnsi="宋体"/>
          <w:bCs/>
          <w:color w:val="auto"/>
          <w:sz w:val="21"/>
          <w:szCs w:val="21"/>
          <w:highlight w:val="none"/>
        </w:rPr>
        <w:t>勘察：指勘察人按合同的规定而进行的有关工程测量、工程地质与水文地质勘察、专项勘察、室内试验、现场测试等全部或单项工作。</w:t>
      </w:r>
    </w:p>
    <w:p w14:paraId="1B342046">
      <w:pPr>
        <w:pStyle w:val="14"/>
        <w:spacing w:line="400" w:lineRule="exact"/>
        <w:ind w:firstLine="480"/>
        <w:rPr>
          <w:rFonts w:hAnsi="宋体"/>
          <w:bCs/>
          <w:color w:val="auto"/>
          <w:sz w:val="21"/>
          <w:szCs w:val="21"/>
          <w:highlight w:val="none"/>
        </w:rPr>
      </w:pPr>
      <w:r>
        <w:rPr>
          <w:rFonts w:hAnsi="宋体"/>
          <w:bCs/>
          <w:color w:val="auto"/>
          <w:sz w:val="21"/>
          <w:szCs w:val="21"/>
          <w:highlight w:val="none"/>
        </w:rPr>
        <w:t>1.1.10</w:t>
      </w:r>
      <w:r>
        <w:rPr>
          <w:rFonts w:hint="eastAsia" w:hAnsi="宋体"/>
          <w:bCs/>
          <w:color w:val="auto"/>
          <w:sz w:val="21"/>
          <w:szCs w:val="21"/>
          <w:highlight w:val="none"/>
        </w:rPr>
        <w:t xml:space="preserve">  </w:t>
      </w:r>
      <w:r>
        <w:rPr>
          <w:rFonts w:hAnsi="宋体"/>
          <w:bCs/>
          <w:color w:val="auto"/>
          <w:sz w:val="21"/>
          <w:szCs w:val="21"/>
          <w:highlight w:val="none"/>
        </w:rPr>
        <w:t>勘察文件：是指勘察人根据国家、部门、行业、地方现行的技术标准、规范、规程或业主、使用对象提出的具体要求进行勘察活动而提供勘察的产品。</w:t>
      </w:r>
    </w:p>
    <w:p w14:paraId="0E34E8D3">
      <w:pPr>
        <w:widowControl w:val="0"/>
        <w:spacing w:after="0" w:line="400" w:lineRule="exact"/>
        <w:ind w:firstLine="420" w:firstLineChars="200"/>
        <w:rPr>
          <w:rFonts w:hint="eastAsia" w:ascii="宋体" w:hAnsi="宋体"/>
          <w:bCs/>
          <w:color w:val="auto"/>
          <w:sz w:val="21"/>
          <w:szCs w:val="21"/>
          <w:highlight w:val="none"/>
        </w:rPr>
      </w:pPr>
      <w:r>
        <w:rPr>
          <w:rFonts w:hint="eastAsia" w:ascii="宋体" w:hAnsi="宋体"/>
          <w:bCs/>
          <w:color w:val="auto"/>
          <w:sz w:val="21"/>
          <w:szCs w:val="21"/>
          <w:highlight w:val="none"/>
        </w:rPr>
        <w:t xml:space="preserve">1.1.11 </w:t>
      </w:r>
      <w:r>
        <w:rPr>
          <w:rFonts w:hint="eastAsia" w:ascii="宋体" w:hAnsi="宋体"/>
          <w:bCs/>
          <w:color w:val="auto"/>
          <w:spacing w:val="-4"/>
          <w:sz w:val="21"/>
          <w:szCs w:val="21"/>
          <w:highlight w:val="none"/>
        </w:rPr>
        <w:t xml:space="preserve"> 勘察质量事故：是指由于勘察责任过失而使工程在设计使用年限内遭受损毁或产生不可弥补的本质缺陷，而需要对工程或设施、设备进行更新、补强、返工修复的事故。</w:t>
      </w:r>
    </w:p>
    <w:p w14:paraId="1210CE96">
      <w:pPr>
        <w:widowControl w:val="0"/>
        <w:spacing w:after="0" w:line="400" w:lineRule="exact"/>
        <w:rPr>
          <w:rFonts w:hint="eastAsia" w:ascii="宋体" w:hAnsi="宋体"/>
          <w:bCs/>
          <w:color w:val="auto"/>
          <w:sz w:val="21"/>
          <w:szCs w:val="21"/>
          <w:highlight w:val="none"/>
        </w:rPr>
      </w:pPr>
      <w:r>
        <w:rPr>
          <w:rFonts w:hint="eastAsia" w:ascii="宋体" w:hAnsi="宋体"/>
          <w:bCs/>
          <w:color w:val="auto"/>
          <w:sz w:val="21"/>
          <w:szCs w:val="21"/>
          <w:highlight w:val="none"/>
        </w:rPr>
        <w:t xml:space="preserve">    一般质量事故：由于勘察原因造成工程系统运行不良，导致直接经济损失(包括修复费用)在20～300万元之间的事故。</w:t>
      </w:r>
    </w:p>
    <w:p w14:paraId="64F93810">
      <w:pPr>
        <w:widowControl w:val="0"/>
        <w:spacing w:after="0" w:line="400" w:lineRule="exact"/>
        <w:rPr>
          <w:rFonts w:hint="eastAsia" w:ascii="宋体" w:hAnsi="宋体"/>
          <w:bCs/>
          <w:color w:val="auto"/>
          <w:sz w:val="21"/>
          <w:szCs w:val="21"/>
          <w:highlight w:val="none"/>
        </w:rPr>
      </w:pPr>
      <w:r>
        <w:rPr>
          <w:rFonts w:hint="eastAsia" w:ascii="宋体" w:hAnsi="宋体"/>
          <w:bCs/>
          <w:color w:val="auto"/>
          <w:sz w:val="21"/>
          <w:szCs w:val="21"/>
          <w:highlight w:val="none"/>
        </w:rPr>
        <w:t xml:space="preserve">    重大质量事故：由于勘察责任过失造成工程系统瘫痪、报废和造成人身伤亡或者重大经济损失的事故。</w:t>
      </w:r>
    </w:p>
    <w:p w14:paraId="770730B6">
      <w:pPr>
        <w:pStyle w:val="14"/>
        <w:spacing w:line="400" w:lineRule="exact"/>
        <w:ind w:firstLine="480"/>
        <w:rPr>
          <w:rFonts w:hAnsi="宋体"/>
          <w:bCs/>
          <w:color w:val="auto"/>
          <w:sz w:val="21"/>
          <w:szCs w:val="21"/>
          <w:highlight w:val="none"/>
        </w:rPr>
      </w:pPr>
      <w:r>
        <w:rPr>
          <w:rFonts w:hAnsi="宋体"/>
          <w:bCs/>
          <w:color w:val="auto"/>
          <w:sz w:val="21"/>
          <w:szCs w:val="21"/>
          <w:highlight w:val="none"/>
        </w:rPr>
        <w:t>上述质量事故的界定按交通部《公路工程质量管理办法》的规定执行。</w:t>
      </w:r>
    </w:p>
    <w:p w14:paraId="091AA695">
      <w:pPr>
        <w:pStyle w:val="14"/>
        <w:spacing w:line="400" w:lineRule="exact"/>
        <w:ind w:firstLine="480"/>
        <w:rPr>
          <w:rFonts w:hAnsi="宋体"/>
          <w:bCs/>
          <w:color w:val="auto"/>
          <w:sz w:val="21"/>
          <w:szCs w:val="21"/>
          <w:highlight w:val="none"/>
        </w:rPr>
      </w:pPr>
      <w:r>
        <w:rPr>
          <w:rFonts w:hAnsi="宋体"/>
          <w:bCs/>
          <w:color w:val="auto"/>
          <w:sz w:val="21"/>
          <w:szCs w:val="21"/>
          <w:highlight w:val="none"/>
        </w:rPr>
        <w:t>1.1.12</w:t>
      </w:r>
      <w:r>
        <w:rPr>
          <w:rFonts w:hint="eastAsia" w:hAnsi="宋体"/>
          <w:bCs/>
          <w:color w:val="auto"/>
          <w:sz w:val="21"/>
          <w:szCs w:val="21"/>
          <w:highlight w:val="none"/>
        </w:rPr>
        <w:t xml:space="preserve">  </w:t>
      </w:r>
      <w:r>
        <w:rPr>
          <w:rFonts w:hAnsi="宋体"/>
          <w:bCs/>
          <w:color w:val="auto"/>
          <w:sz w:val="21"/>
          <w:szCs w:val="21"/>
          <w:highlight w:val="none"/>
        </w:rPr>
        <w:t>不可抗力：指业主与勘察人不能预见、或不能采取措施避免并不能克服的自然灾害或社会政治因素等。</w:t>
      </w:r>
    </w:p>
    <w:p w14:paraId="03483521">
      <w:pPr>
        <w:pStyle w:val="14"/>
        <w:spacing w:line="400" w:lineRule="exact"/>
        <w:ind w:firstLine="480"/>
        <w:rPr>
          <w:rFonts w:hAnsi="宋体"/>
          <w:bCs/>
          <w:color w:val="auto"/>
          <w:sz w:val="21"/>
          <w:szCs w:val="21"/>
          <w:highlight w:val="none"/>
        </w:rPr>
      </w:pPr>
      <w:r>
        <w:rPr>
          <w:rFonts w:hAnsi="宋体"/>
          <w:bCs/>
          <w:color w:val="auto"/>
          <w:sz w:val="21"/>
          <w:szCs w:val="21"/>
          <w:highlight w:val="none"/>
        </w:rPr>
        <w:t>1.1.13  业主风险：因不可抗力或应由业主单方承担责任而产生的风险。</w:t>
      </w:r>
    </w:p>
    <w:p w14:paraId="5A56E0FE">
      <w:pPr>
        <w:pStyle w:val="14"/>
        <w:spacing w:line="400" w:lineRule="exact"/>
        <w:ind w:firstLine="480"/>
        <w:rPr>
          <w:rFonts w:hAnsi="宋体"/>
          <w:bCs/>
          <w:color w:val="auto"/>
          <w:sz w:val="21"/>
          <w:szCs w:val="21"/>
          <w:highlight w:val="none"/>
        </w:rPr>
      </w:pPr>
      <w:r>
        <w:rPr>
          <w:rFonts w:hAnsi="宋体"/>
          <w:bCs/>
          <w:color w:val="auto"/>
          <w:sz w:val="21"/>
          <w:szCs w:val="21"/>
          <w:highlight w:val="none"/>
        </w:rPr>
        <w:t>1.1.14  天：指日历日。年、月、日按公历计算。</w:t>
      </w:r>
    </w:p>
    <w:p w14:paraId="28B227C9">
      <w:pPr>
        <w:pStyle w:val="14"/>
        <w:spacing w:line="400" w:lineRule="exact"/>
        <w:ind w:firstLine="480"/>
        <w:rPr>
          <w:rFonts w:hAnsi="宋体"/>
          <w:bCs/>
          <w:color w:val="auto"/>
          <w:sz w:val="21"/>
          <w:szCs w:val="21"/>
          <w:highlight w:val="none"/>
        </w:rPr>
      </w:pPr>
      <w:r>
        <w:rPr>
          <w:rFonts w:hAnsi="宋体"/>
          <w:bCs/>
          <w:color w:val="auto"/>
          <w:sz w:val="21"/>
          <w:szCs w:val="21"/>
          <w:highlight w:val="none"/>
        </w:rPr>
        <w:t>1.1.15  时间：本合同文件所指时间均为北京时间。</w:t>
      </w:r>
    </w:p>
    <w:p w14:paraId="33CB7569">
      <w:pPr>
        <w:pStyle w:val="14"/>
        <w:spacing w:line="400" w:lineRule="exact"/>
        <w:ind w:firstLine="420" w:firstLineChars="200"/>
        <w:rPr>
          <w:rFonts w:hAnsi="宋体"/>
          <w:bCs/>
          <w:color w:val="auto"/>
          <w:sz w:val="21"/>
          <w:szCs w:val="21"/>
          <w:highlight w:val="none"/>
        </w:rPr>
      </w:pPr>
      <w:r>
        <w:rPr>
          <w:rFonts w:hAnsi="宋体"/>
          <w:bCs/>
          <w:color w:val="auto"/>
          <w:sz w:val="21"/>
          <w:szCs w:val="21"/>
          <w:highlight w:val="none"/>
        </w:rPr>
        <w:t>1.1.16  投标书：指勘察人为工程向委托方提供的，按合同条款规定并为中通知书所能接受，为工程而作的有报价的投标文件。</w:t>
      </w:r>
    </w:p>
    <w:p w14:paraId="4CF9331A">
      <w:pPr>
        <w:pStyle w:val="14"/>
        <w:spacing w:line="400" w:lineRule="exact"/>
        <w:rPr>
          <w:rFonts w:hAnsi="宋体"/>
          <w:bCs/>
          <w:color w:val="auto"/>
          <w:sz w:val="21"/>
          <w:szCs w:val="21"/>
          <w:highlight w:val="none"/>
        </w:rPr>
      </w:pPr>
      <w:r>
        <w:rPr>
          <w:rFonts w:hAnsi="宋体"/>
          <w:bCs/>
          <w:color w:val="auto"/>
          <w:sz w:val="21"/>
          <w:szCs w:val="21"/>
          <w:highlight w:val="none"/>
        </w:rPr>
        <w:t xml:space="preserve">    1.1.17  定金：指委托方与勘察人订立合同之后，为了证明合同的成立和保证合同的履行，委托方向设计方预先付给的一定数量的货币。</w:t>
      </w:r>
    </w:p>
    <w:p w14:paraId="3E81AB4F">
      <w:pPr>
        <w:pStyle w:val="14"/>
        <w:spacing w:line="400" w:lineRule="exact"/>
        <w:rPr>
          <w:rFonts w:hAnsi="宋体"/>
          <w:bCs/>
          <w:color w:val="auto"/>
          <w:sz w:val="21"/>
          <w:szCs w:val="21"/>
          <w:highlight w:val="none"/>
        </w:rPr>
      </w:pPr>
      <w:r>
        <w:rPr>
          <w:rFonts w:hAnsi="宋体"/>
          <w:bCs/>
          <w:color w:val="auto"/>
          <w:sz w:val="21"/>
          <w:szCs w:val="21"/>
          <w:highlight w:val="none"/>
        </w:rPr>
        <w:t xml:space="preserve">    1.1.18  中标通知书：指委托方正式接受勘察人投标的接受信。</w:t>
      </w:r>
    </w:p>
    <w:p w14:paraId="57EE6AE5">
      <w:pPr>
        <w:pStyle w:val="14"/>
        <w:spacing w:line="400" w:lineRule="exact"/>
        <w:rPr>
          <w:rFonts w:hAnsi="宋体"/>
          <w:bCs/>
          <w:color w:val="auto"/>
          <w:sz w:val="21"/>
          <w:szCs w:val="21"/>
          <w:highlight w:val="none"/>
        </w:rPr>
      </w:pPr>
      <w:r>
        <w:rPr>
          <w:rFonts w:hAnsi="宋体"/>
          <w:bCs/>
          <w:color w:val="auto"/>
          <w:sz w:val="21"/>
          <w:szCs w:val="21"/>
          <w:highlight w:val="none"/>
        </w:rPr>
        <w:t xml:space="preserve">    1.1.19  工程：协议条款约定具体内容的永久工程。</w:t>
      </w:r>
    </w:p>
    <w:p w14:paraId="32BF296E">
      <w:pPr>
        <w:pStyle w:val="14"/>
        <w:spacing w:line="400" w:lineRule="exact"/>
        <w:rPr>
          <w:rFonts w:hAnsi="宋体"/>
          <w:bCs/>
          <w:color w:val="auto"/>
          <w:sz w:val="21"/>
          <w:szCs w:val="21"/>
          <w:highlight w:val="none"/>
        </w:rPr>
      </w:pPr>
      <w:r>
        <w:rPr>
          <w:rFonts w:hAnsi="宋体"/>
          <w:bCs/>
          <w:color w:val="auto"/>
          <w:sz w:val="21"/>
          <w:szCs w:val="21"/>
          <w:highlight w:val="none"/>
        </w:rPr>
        <w:t xml:space="preserve">    1.1.20  合同价款：指根据合同条款，用以支付勘察人为完成勘察及有关工作应付的总金额。</w:t>
      </w:r>
    </w:p>
    <w:p w14:paraId="5A7219B5">
      <w:pPr>
        <w:pStyle w:val="14"/>
        <w:spacing w:line="400" w:lineRule="exact"/>
        <w:rPr>
          <w:rFonts w:hAnsi="宋体"/>
          <w:bCs/>
          <w:color w:val="auto"/>
          <w:sz w:val="21"/>
          <w:szCs w:val="21"/>
          <w:highlight w:val="none"/>
        </w:rPr>
      </w:pPr>
      <w:r>
        <w:rPr>
          <w:rFonts w:hAnsi="宋体"/>
          <w:bCs/>
          <w:color w:val="auto"/>
          <w:sz w:val="21"/>
          <w:szCs w:val="21"/>
          <w:highlight w:val="none"/>
        </w:rPr>
        <w:t xml:space="preserve">    1.1.21  协议条款：结合具体工程，委托方和勘察人协商后签订的书面协议。</w:t>
      </w:r>
    </w:p>
    <w:p w14:paraId="42CAE1E2">
      <w:pPr>
        <w:pStyle w:val="14"/>
        <w:spacing w:line="400" w:lineRule="exact"/>
        <w:rPr>
          <w:rFonts w:hAnsi="宋体"/>
          <w:bCs/>
          <w:color w:val="auto"/>
          <w:sz w:val="21"/>
          <w:szCs w:val="21"/>
          <w:highlight w:val="none"/>
        </w:rPr>
      </w:pPr>
      <w:r>
        <w:rPr>
          <w:rFonts w:hAnsi="宋体"/>
          <w:bCs/>
          <w:color w:val="auto"/>
          <w:sz w:val="21"/>
          <w:szCs w:val="21"/>
          <w:highlight w:val="none"/>
        </w:rPr>
        <w:t xml:space="preserve">    1.2  合同文件及解释顺序</w:t>
      </w:r>
    </w:p>
    <w:p w14:paraId="30A392E3">
      <w:pPr>
        <w:pStyle w:val="14"/>
        <w:spacing w:line="400" w:lineRule="exact"/>
        <w:rPr>
          <w:rFonts w:hAnsi="宋体"/>
          <w:bCs/>
          <w:color w:val="auto"/>
          <w:sz w:val="21"/>
          <w:szCs w:val="21"/>
          <w:highlight w:val="none"/>
        </w:rPr>
      </w:pPr>
      <w:r>
        <w:rPr>
          <w:rFonts w:hAnsi="宋体"/>
          <w:bCs/>
          <w:color w:val="auto"/>
          <w:sz w:val="21"/>
          <w:szCs w:val="21"/>
          <w:highlight w:val="none"/>
        </w:rPr>
        <w:t xml:space="preserve">    合同文件应能互相解释，互为说明。除合同另有约定外，其组成和解释顺序如下：</w:t>
      </w:r>
    </w:p>
    <w:p w14:paraId="3C04AA40">
      <w:pPr>
        <w:pStyle w:val="14"/>
        <w:spacing w:line="400" w:lineRule="exact"/>
        <w:rPr>
          <w:rFonts w:hAnsi="宋体"/>
          <w:bCs/>
          <w:color w:val="auto"/>
          <w:sz w:val="21"/>
          <w:szCs w:val="21"/>
          <w:highlight w:val="none"/>
        </w:rPr>
      </w:pPr>
      <w:r>
        <w:rPr>
          <w:rFonts w:hAnsi="宋体"/>
          <w:bCs/>
          <w:color w:val="auto"/>
          <w:sz w:val="21"/>
          <w:szCs w:val="21"/>
          <w:highlight w:val="none"/>
        </w:rPr>
        <w:t xml:space="preserve">    1.2.1  协议书(如已完成)及其附件(含双方协商同意的补充及修改文件等)；</w:t>
      </w:r>
    </w:p>
    <w:p w14:paraId="642D69C6">
      <w:pPr>
        <w:pStyle w:val="14"/>
        <w:spacing w:line="400" w:lineRule="exact"/>
        <w:rPr>
          <w:rFonts w:hAnsi="宋体"/>
          <w:bCs/>
          <w:color w:val="auto"/>
          <w:sz w:val="21"/>
          <w:szCs w:val="21"/>
          <w:highlight w:val="none"/>
        </w:rPr>
      </w:pPr>
      <w:r>
        <w:rPr>
          <w:rFonts w:hAnsi="宋体"/>
          <w:bCs/>
          <w:color w:val="auto"/>
          <w:sz w:val="21"/>
          <w:szCs w:val="21"/>
          <w:highlight w:val="none"/>
        </w:rPr>
        <w:t xml:space="preserve">    1.2.2  中标通知书；</w:t>
      </w:r>
    </w:p>
    <w:p w14:paraId="36EB00BA">
      <w:pPr>
        <w:pStyle w:val="14"/>
        <w:spacing w:line="400" w:lineRule="exact"/>
        <w:rPr>
          <w:rFonts w:hAnsi="宋体"/>
          <w:bCs/>
          <w:color w:val="auto"/>
          <w:sz w:val="21"/>
          <w:szCs w:val="21"/>
          <w:highlight w:val="none"/>
        </w:rPr>
      </w:pPr>
      <w:r>
        <w:rPr>
          <w:rFonts w:hAnsi="宋体"/>
          <w:bCs/>
          <w:color w:val="auto"/>
          <w:sz w:val="21"/>
          <w:szCs w:val="21"/>
          <w:highlight w:val="none"/>
        </w:rPr>
        <w:t xml:space="preserve">    1.2.3  招标文件； </w:t>
      </w:r>
    </w:p>
    <w:p w14:paraId="2D0F67BD">
      <w:pPr>
        <w:pStyle w:val="14"/>
        <w:spacing w:line="400" w:lineRule="exact"/>
        <w:rPr>
          <w:rFonts w:hAnsi="宋体"/>
          <w:bCs/>
          <w:color w:val="auto"/>
          <w:sz w:val="21"/>
          <w:szCs w:val="21"/>
          <w:highlight w:val="none"/>
        </w:rPr>
      </w:pPr>
      <w:r>
        <w:rPr>
          <w:rFonts w:hAnsi="宋体"/>
          <w:bCs/>
          <w:color w:val="auto"/>
          <w:sz w:val="21"/>
          <w:szCs w:val="21"/>
          <w:highlight w:val="none"/>
        </w:rPr>
        <w:t xml:space="preserve">    1.2.4  投标书；</w:t>
      </w:r>
    </w:p>
    <w:p w14:paraId="5AFEFD21">
      <w:pPr>
        <w:pStyle w:val="14"/>
        <w:spacing w:line="400" w:lineRule="exact"/>
        <w:rPr>
          <w:rFonts w:hAnsi="宋体"/>
          <w:bCs/>
          <w:color w:val="auto"/>
          <w:sz w:val="21"/>
          <w:szCs w:val="21"/>
          <w:highlight w:val="none"/>
        </w:rPr>
      </w:pPr>
      <w:r>
        <w:rPr>
          <w:rFonts w:hAnsi="宋体"/>
          <w:bCs/>
          <w:color w:val="auto"/>
          <w:sz w:val="21"/>
          <w:szCs w:val="21"/>
          <w:highlight w:val="none"/>
        </w:rPr>
        <w:t xml:space="preserve">    1.2.5  勘察设计合同专用条款；</w:t>
      </w:r>
    </w:p>
    <w:p w14:paraId="45D2A1CA">
      <w:pPr>
        <w:pStyle w:val="14"/>
        <w:spacing w:line="400" w:lineRule="exact"/>
        <w:rPr>
          <w:rFonts w:hAnsi="宋体"/>
          <w:bCs/>
          <w:color w:val="auto"/>
          <w:sz w:val="21"/>
          <w:szCs w:val="21"/>
          <w:highlight w:val="none"/>
        </w:rPr>
      </w:pPr>
      <w:r>
        <w:rPr>
          <w:rFonts w:hAnsi="宋体"/>
          <w:bCs/>
          <w:color w:val="auto"/>
          <w:sz w:val="21"/>
          <w:szCs w:val="21"/>
          <w:highlight w:val="none"/>
        </w:rPr>
        <w:t xml:space="preserve">    1.2.6  勘察合同通用条款；</w:t>
      </w:r>
    </w:p>
    <w:p w14:paraId="1984B380">
      <w:pPr>
        <w:pStyle w:val="14"/>
        <w:spacing w:line="400" w:lineRule="exact"/>
        <w:ind w:firstLine="480"/>
        <w:rPr>
          <w:rFonts w:hAnsi="宋体"/>
          <w:bCs/>
          <w:color w:val="auto"/>
          <w:sz w:val="21"/>
          <w:szCs w:val="21"/>
          <w:highlight w:val="none"/>
        </w:rPr>
      </w:pPr>
      <w:r>
        <w:rPr>
          <w:rFonts w:hAnsi="宋体"/>
          <w:bCs/>
          <w:color w:val="auto"/>
          <w:sz w:val="21"/>
          <w:szCs w:val="21"/>
          <w:highlight w:val="none"/>
        </w:rPr>
        <w:t>1.2.7  双方协商同意的变更、纪要、协议；</w:t>
      </w:r>
    </w:p>
    <w:p w14:paraId="7D877922">
      <w:pPr>
        <w:pStyle w:val="14"/>
        <w:spacing w:line="400" w:lineRule="exact"/>
        <w:ind w:firstLine="480"/>
        <w:rPr>
          <w:rFonts w:hAnsi="宋体"/>
          <w:bCs/>
          <w:color w:val="auto"/>
          <w:sz w:val="21"/>
          <w:szCs w:val="21"/>
          <w:highlight w:val="none"/>
        </w:rPr>
      </w:pPr>
      <w:r>
        <w:rPr>
          <w:rFonts w:hAnsi="宋体"/>
          <w:bCs/>
          <w:color w:val="auto"/>
          <w:sz w:val="21"/>
          <w:szCs w:val="21"/>
          <w:highlight w:val="none"/>
        </w:rPr>
        <w:t>1.2.8  勘察设计技术标准与规范；</w:t>
      </w:r>
    </w:p>
    <w:p w14:paraId="008A54F2">
      <w:pPr>
        <w:pStyle w:val="14"/>
        <w:spacing w:line="400" w:lineRule="exact"/>
        <w:ind w:firstLine="480"/>
        <w:rPr>
          <w:rFonts w:hAnsi="宋体"/>
          <w:bCs/>
          <w:color w:val="auto"/>
          <w:sz w:val="21"/>
          <w:szCs w:val="21"/>
          <w:highlight w:val="none"/>
        </w:rPr>
      </w:pPr>
      <w:r>
        <w:rPr>
          <w:rFonts w:hAnsi="宋体"/>
          <w:bCs/>
          <w:color w:val="auto"/>
          <w:sz w:val="21"/>
          <w:szCs w:val="21"/>
          <w:highlight w:val="none"/>
        </w:rPr>
        <w:t xml:space="preserve">1.2.9 </w:t>
      </w:r>
      <w:r>
        <w:rPr>
          <w:rFonts w:hint="eastAsia" w:hAnsi="宋体"/>
          <w:bCs/>
          <w:color w:val="auto"/>
          <w:sz w:val="21"/>
          <w:szCs w:val="21"/>
          <w:highlight w:val="none"/>
        </w:rPr>
        <w:t xml:space="preserve"> </w:t>
      </w:r>
      <w:r>
        <w:rPr>
          <w:rFonts w:hAnsi="宋体"/>
          <w:bCs/>
          <w:color w:val="auto"/>
          <w:sz w:val="21"/>
          <w:szCs w:val="21"/>
          <w:highlight w:val="none"/>
        </w:rPr>
        <w:t>勘察工作量及报价清单表；</w:t>
      </w:r>
    </w:p>
    <w:p w14:paraId="5ED93205">
      <w:pPr>
        <w:pStyle w:val="14"/>
        <w:spacing w:line="400" w:lineRule="exact"/>
        <w:ind w:firstLine="480"/>
        <w:rPr>
          <w:rFonts w:hAnsi="宋体"/>
          <w:bCs/>
          <w:color w:val="auto"/>
          <w:sz w:val="21"/>
          <w:szCs w:val="21"/>
          <w:highlight w:val="none"/>
        </w:rPr>
      </w:pPr>
      <w:r>
        <w:rPr>
          <w:rFonts w:hAnsi="宋体"/>
          <w:bCs/>
          <w:color w:val="auto"/>
          <w:sz w:val="21"/>
          <w:szCs w:val="21"/>
          <w:highlight w:val="none"/>
        </w:rPr>
        <w:t>1.2.10</w:t>
      </w:r>
      <w:r>
        <w:rPr>
          <w:rFonts w:hint="eastAsia" w:hAnsi="宋体"/>
          <w:bCs/>
          <w:color w:val="auto"/>
          <w:sz w:val="21"/>
          <w:szCs w:val="21"/>
          <w:highlight w:val="none"/>
        </w:rPr>
        <w:t xml:space="preserve"> </w:t>
      </w:r>
      <w:r>
        <w:rPr>
          <w:rFonts w:hAnsi="宋体"/>
          <w:bCs/>
          <w:color w:val="auto"/>
          <w:sz w:val="21"/>
          <w:szCs w:val="21"/>
          <w:highlight w:val="none"/>
        </w:rPr>
        <w:t xml:space="preserve"> 勘察工作量及报价计算说明；</w:t>
      </w:r>
    </w:p>
    <w:p w14:paraId="553C8C3C">
      <w:pPr>
        <w:pStyle w:val="14"/>
        <w:spacing w:line="400" w:lineRule="exact"/>
        <w:ind w:firstLine="480"/>
        <w:rPr>
          <w:rFonts w:hAnsi="宋体"/>
          <w:bCs/>
          <w:color w:val="auto"/>
          <w:sz w:val="21"/>
          <w:szCs w:val="21"/>
          <w:highlight w:val="none"/>
        </w:rPr>
      </w:pPr>
      <w:r>
        <w:rPr>
          <w:rFonts w:hAnsi="宋体"/>
          <w:bCs/>
          <w:color w:val="auto"/>
          <w:sz w:val="21"/>
          <w:szCs w:val="21"/>
          <w:highlight w:val="none"/>
        </w:rPr>
        <w:t xml:space="preserve">1.2.11 </w:t>
      </w:r>
      <w:r>
        <w:rPr>
          <w:rFonts w:hint="eastAsia" w:hAnsi="宋体"/>
          <w:bCs/>
          <w:color w:val="auto"/>
          <w:sz w:val="21"/>
          <w:szCs w:val="21"/>
          <w:highlight w:val="none"/>
        </w:rPr>
        <w:t xml:space="preserve"> </w:t>
      </w:r>
      <w:r>
        <w:rPr>
          <w:rFonts w:hAnsi="宋体"/>
          <w:bCs/>
          <w:color w:val="auto"/>
          <w:sz w:val="21"/>
          <w:szCs w:val="21"/>
          <w:highlight w:val="none"/>
        </w:rPr>
        <w:t>项目负责人及项目主要参与人员的基本情况；</w:t>
      </w:r>
    </w:p>
    <w:p w14:paraId="7CB27F00">
      <w:pPr>
        <w:pStyle w:val="14"/>
        <w:spacing w:line="400" w:lineRule="exact"/>
        <w:ind w:firstLine="480"/>
        <w:rPr>
          <w:rFonts w:hAnsi="宋体"/>
          <w:bCs/>
          <w:color w:val="auto"/>
          <w:sz w:val="21"/>
          <w:szCs w:val="21"/>
          <w:highlight w:val="none"/>
        </w:rPr>
      </w:pPr>
      <w:r>
        <w:rPr>
          <w:rFonts w:hAnsi="宋体"/>
          <w:bCs/>
          <w:color w:val="auto"/>
          <w:sz w:val="21"/>
          <w:szCs w:val="21"/>
          <w:highlight w:val="none"/>
        </w:rPr>
        <w:t>1.2.12  勘察工作大纲。</w:t>
      </w:r>
    </w:p>
    <w:p w14:paraId="00937FE8">
      <w:pPr>
        <w:pStyle w:val="14"/>
        <w:spacing w:line="400" w:lineRule="exact"/>
        <w:rPr>
          <w:rFonts w:hAnsi="宋体"/>
          <w:bCs/>
          <w:color w:val="auto"/>
          <w:sz w:val="21"/>
          <w:szCs w:val="21"/>
          <w:highlight w:val="none"/>
        </w:rPr>
      </w:pPr>
      <w:r>
        <w:rPr>
          <w:rFonts w:hAnsi="宋体"/>
          <w:bCs/>
          <w:color w:val="auto"/>
          <w:sz w:val="21"/>
          <w:szCs w:val="21"/>
          <w:highlight w:val="none"/>
        </w:rPr>
        <w:t xml:space="preserve">     当合同文件出现含糊不清或不相一致时，在不影响工程勘察进度的情况下，由双方协商解决；双方意见仍不能一致的，按第10条约定的办法解决。</w:t>
      </w:r>
    </w:p>
    <w:p w14:paraId="2BF5FDD9">
      <w:pPr>
        <w:pStyle w:val="14"/>
        <w:spacing w:line="400" w:lineRule="exact"/>
        <w:rPr>
          <w:rFonts w:hAnsi="宋体"/>
          <w:bCs/>
          <w:color w:val="auto"/>
          <w:sz w:val="21"/>
          <w:szCs w:val="21"/>
          <w:highlight w:val="none"/>
        </w:rPr>
      </w:pPr>
      <w:r>
        <w:rPr>
          <w:rFonts w:hAnsi="宋体"/>
          <w:bCs/>
          <w:color w:val="auto"/>
          <w:sz w:val="21"/>
          <w:szCs w:val="21"/>
          <w:highlight w:val="none"/>
        </w:rPr>
        <w:t xml:space="preserve">    1.3  合同文件使用语言、文字和适用法律：</w:t>
      </w:r>
    </w:p>
    <w:p w14:paraId="5957C9F2">
      <w:pPr>
        <w:pStyle w:val="14"/>
        <w:spacing w:line="400" w:lineRule="exact"/>
        <w:rPr>
          <w:rFonts w:hAnsi="宋体"/>
          <w:bCs/>
          <w:color w:val="auto"/>
          <w:sz w:val="21"/>
          <w:szCs w:val="21"/>
          <w:highlight w:val="none"/>
        </w:rPr>
      </w:pPr>
      <w:r>
        <w:rPr>
          <w:rFonts w:hAnsi="宋体"/>
          <w:bCs/>
          <w:color w:val="auto"/>
          <w:sz w:val="21"/>
          <w:szCs w:val="21"/>
          <w:highlight w:val="none"/>
        </w:rPr>
        <w:t xml:space="preserve">    合同文件使用汉语或专用条件约定的语言书写和解释、说明。</w:t>
      </w:r>
    </w:p>
    <w:p w14:paraId="751F6B86">
      <w:pPr>
        <w:pStyle w:val="14"/>
        <w:spacing w:line="400" w:lineRule="exact"/>
        <w:rPr>
          <w:rFonts w:hAnsi="宋体"/>
          <w:bCs/>
          <w:color w:val="auto"/>
          <w:sz w:val="21"/>
          <w:szCs w:val="21"/>
          <w:highlight w:val="none"/>
        </w:rPr>
      </w:pPr>
      <w:r>
        <w:rPr>
          <w:rFonts w:hAnsi="宋体"/>
          <w:bCs/>
          <w:color w:val="auto"/>
          <w:sz w:val="21"/>
          <w:szCs w:val="21"/>
          <w:highlight w:val="none"/>
        </w:rPr>
        <w:t xml:space="preserve">    适用于合同文件的法律是中华人民共和国现行国家的法律，法规，及专用条件约定的部门规章或工程所在地的地方法规。</w:t>
      </w:r>
    </w:p>
    <w:p w14:paraId="4CE7C0C5">
      <w:pPr>
        <w:pStyle w:val="14"/>
        <w:spacing w:line="400" w:lineRule="exact"/>
        <w:rPr>
          <w:rFonts w:hAnsi="宋体"/>
          <w:bCs/>
          <w:color w:val="auto"/>
          <w:sz w:val="21"/>
          <w:szCs w:val="21"/>
          <w:highlight w:val="none"/>
        </w:rPr>
      </w:pPr>
      <w:r>
        <w:rPr>
          <w:rFonts w:hAnsi="宋体"/>
          <w:bCs/>
          <w:color w:val="auto"/>
          <w:sz w:val="21"/>
          <w:szCs w:val="21"/>
          <w:highlight w:val="none"/>
        </w:rPr>
        <w:t xml:space="preserve">    勘测设计中必须使用专用条件约定的国家标准、规范；国家没有相应标准、规范时，可使用专用条件约定的行业或工程所在地的省级地方标准、规范。</w:t>
      </w:r>
    </w:p>
    <w:p w14:paraId="434E2AE6">
      <w:pPr>
        <w:widowControl w:val="0"/>
        <w:spacing w:after="0" w:line="400" w:lineRule="exact"/>
        <w:rPr>
          <w:rFonts w:hint="eastAsia" w:ascii="宋体" w:hAnsi="宋体"/>
          <w:b/>
          <w:bCs/>
          <w:color w:val="auto"/>
          <w:sz w:val="21"/>
          <w:szCs w:val="21"/>
          <w:highlight w:val="none"/>
        </w:rPr>
      </w:pPr>
      <w:r>
        <w:rPr>
          <w:rFonts w:hint="eastAsia" w:ascii="宋体" w:hAnsi="宋体"/>
          <w:b/>
          <w:bCs/>
          <w:color w:val="auto"/>
          <w:sz w:val="21"/>
          <w:szCs w:val="21"/>
          <w:highlight w:val="none"/>
        </w:rPr>
        <w:t>2.一般责任和义务</w:t>
      </w:r>
    </w:p>
    <w:p w14:paraId="32EBB5F4">
      <w:pPr>
        <w:widowControl w:val="0"/>
        <w:spacing w:after="0" w:line="400" w:lineRule="exact"/>
        <w:ind w:firstLine="420" w:firstLineChars="200"/>
        <w:rPr>
          <w:rFonts w:hint="eastAsia" w:ascii="宋体" w:hAnsi="宋体"/>
          <w:bCs/>
          <w:color w:val="auto"/>
          <w:sz w:val="21"/>
          <w:szCs w:val="21"/>
          <w:highlight w:val="none"/>
        </w:rPr>
      </w:pPr>
      <w:r>
        <w:rPr>
          <w:rFonts w:hint="eastAsia" w:ascii="宋体" w:hAnsi="宋体"/>
          <w:bCs/>
          <w:color w:val="auto"/>
          <w:sz w:val="21"/>
          <w:szCs w:val="21"/>
          <w:highlight w:val="none"/>
        </w:rPr>
        <w:t>2.1  勘察进度计划的提交：勘察人在接到委托书后，应在业主规定的时间内，根据工作大纲的总体安排向业主提交两份详细的勘察进度工作计划，以及为完成本计划而建议采用的措施和说明，经批准后作为业主控制勘察进度的依据。</w:t>
      </w:r>
    </w:p>
    <w:p w14:paraId="1370840D">
      <w:pPr>
        <w:widowControl w:val="0"/>
        <w:spacing w:after="0" w:line="400" w:lineRule="exact"/>
        <w:ind w:firstLine="420" w:firstLineChars="200"/>
        <w:rPr>
          <w:rFonts w:hint="eastAsia" w:ascii="宋体" w:hAnsi="宋体"/>
          <w:bCs/>
          <w:color w:val="auto"/>
          <w:sz w:val="21"/>
          <w:szCs w:val="21"/>
          <w:highlight w:val="none"/>
        </w:rPr>
      </w:pPr>
      <w:r>
        <w:rPr>
          <w:rFonts w:hint="eastAsia" w:ascii="宋体" w:hAnsi="宋体"/>
          <w:bCs/>
          <w:color w:val="auto"/>
          <w:sz w:val="21"/>
          <w:szCs w:val="21"/>
          <w:highlight w:val="none"/>
        </w:rPr>
        <w:t>2.2  安全、保卫与环境保护：勘察人在进行外业勘察时，应采取相应的安全、保卫和环境保护措施，如勘察人未能采取有效的措施，而发生的与外业勘察活动有关的人身伤亡、罚款、索赔、损失赔偿、诉讼费用及其他一切责任应由勘察人负责。</w:t>
      </w:r>
    </w:p>
    <w:p w14:paraId="241715DA">
      <w:pPr>
        <w:widowControl w:val="0"/>
        <w:spacing w:after="0" w:line="400" w:lineRule="exact"/>
        <w:ind w:firstLine="420" w:firstLineChars="200"/>
        <w:rPr>
          <w:rFonts w:hint="eastAsia" w:ascii="宋体" w:hAnsi="宋体"/>
          <w:bCs/>
          <w:color w:val="auto"/>
          <w:sz w:val="21"/>
          <w:szCs w:val="21"/>
          <w:highlight w:val="none"/>
        </w:rPr>
      </w:pPr>
      <w:r>
        <w:rPr>
          <w:rFonts w:hint="eastAsia" w:ascii="宋体" w:hAnsi="宋体"/>
          <w:bCs/>
          <w:color w:val="auto"/>
          <w:sz w:val="21"/>
          <w:szCs w:val="21"/>
          <w:highlight w:val="none"/>
        </w:rPr>
        <w:t>2.3  保险：勘察人为实施本项工程，应参加业主风险以外的其它有关的雇主责任保险，以使本项工程顺利进行。</w:t>
      </w:r>
    </w:p>
    <w:p w14:paraId="489699A0">
      <w:pPr>
        <w:widowControl w:val="0"/>
        <w:spacing w:after="0" w:line="400" w:lineRule="exact"/>
        <w:ind w:firstLine="420" w:firstLineChars="200"/>
        <w:rPr>
          <w:rFonts w:hint="eastAsia" w:ascii="宋体" w:hAnsi="宋体"/>
          <w:bCs/>
          <w:color w:val="auto"/>
          <w:sz w:val="21"/>
          <w:szCs w:val="21"/>
          <w:highlight w:val="none"/>
        </w:rPr>
      </w:pPr>
      <w:r>
        <w:rPr>
          <w:rFonts w:hint="eastAsia" w:ascii="宋体" w:hAnsi="宋体"/>
          <w:bCs/>
          <w:color w:val="auto"/>
          <w:sz w:val="21"/>
          <w:szCs w:val="21"/>
          <w:highlight w:val="none"/>
        </w:rPr>
        <w:t>2.4  道路维护：勘察人在进行外业勘察时，如造成原有道路和桥梁的损坏或损伤而引起的一切索赔、赔偿、诉讼费用和其他费用，由勘察人自行承担。</w:t>
      </w:r>
    </w:p>
    <w:p w14:paraId="4F6C7851">
      <w:pPr>
        <w:widowControl w:val="0"/>
        <w:spacing w:after="0" w:line="400" w:lineRule="exact"/>
        <w:ind w:firstLine="420" w:firstLineChars="200"/>
        <w:rPr>
          <w:rFonts w:hint="eastAsia" w:ascii="宋体" w:hAnsi="宋体"/>
          <w:bCs/>
          <w:color w:val="auto"/>
          <w:sz w:val="21"/>
          <w:szCs w:val="21"/>
          <w:highlight w:val="none"/>
        </w:rPr>
      </w:pPr>
      <w:r>
        <w:rPr>
          <w:rFonts w:hint="eastAsia" w:ascii="宋体" w:hAnsi="宋体"/>
          <w:bCs/>
          <w:color w:val="auto"/>
          <w:sz w:val="21"/>
          <w:szCs w:val="21"/>
          <w:highlight w:val="none"/>
        </w:rPr>
        <w:t xml:space="preserve">2.5 </w:t>
      </w:r>
      <w:r>
        <w:rPr>
          <w:rFonts w:hint="eastAsia" w:ascii="宋体" w:hAnsi="宋体"/>
          <w:bCs/>
          <w:color w:val="auto"/>
          <w:spacing w:val="-2"/>
          <w:sz w:val="21"/>
          <w:szCs w:val="21"/>
          <w:highlight w:val="none"/>
        </w:rPr>
        <w:t xml:space="preserve"> 附着物保护：勘察人在进行外业勘察时，应尽量保持路线经过范围内地上附着物的完好，如造成损坏而引起的一切索赔、赔偿、诉讼费用和其他费用，由勘察人自行承担。</w:t>
      </w:r>
    </w:p>
    <w:p w14:paraId="01CD8F29">
      <w:pPr>
        <w:widowControl w:val="0"/>
        <w:spacing w:after="0" w:line="400" w:lineRule="exact"/>
        <w:rPr>
          <w:rFonts w:hint="eastAsia" w:ascii="宋体" w:hAnsi="宋体"/>
          <w:b/>
          <w:bCs/>
          <w:color w:val="auto"/>
          <w:sz w:val="21"/>
          <w:szCs w:val="21"/>
          <w:highlight w:val="none"/>
        </w:rPr>
      </w:pPr>
      <w:r>
        <w:rPr>
          <w:rFonts w:hint="eastAsia" w:ascii="宋体" w:hAnsi="宋体"/>
          <w:b/>
          <w:bCs/>
          <w:color w:val="auto"/>
          <w:sz w:val="21"/>
          <w:szCs w:val="21"/>
          <w:highlight w:val="none"/>
        </w:rPr>
        <w:t>3.业主的责任与义务</w:t>
      </w:r>
    </w:p>
    <w:p w14:paraId="6C77480E">
      <w:pPr>
        <w:widowControl w:val="0"/>
        <w:spacing w:after="0" w:line="400" w:lineRule="exact"/>
        <w:ind w:firstLine="420" w:firstLineChars="200"/>
        <w:rPr>
          <w:rFonts w:hint="eastAsia" w:ascii="宋体" w:hAnsi="宋体"/>
          <w:bCs/>
          <w:color w:val="auto"/>
          <w:sz w:val="21"/>
          <w:szCs w:val="21"/>
          <w:highlight w:val="none"/>
        </w:rPr>
      </w:pPr>
      <w:r>
        <w:rPr>
          <w:rFonts w:hint="eastAsia" w:ascii="宋体" w:hAnsi="宋体"/>
          <w:bCs/>
          <w:color w:val="auto"/>
          <w:sz w:val="21"/>
          <w:szCs w:val="21"/>
          <w:highlight w:val="none"/>
        </w:rPr>
        <w:t>3.1  业主应严格履行基本建设程序，根据市政工程项目的具体情况和技术要求，确定合理的勘察工作量及合理的勘察周期，并按本合同有关规定及时支付勘察费。</w:t>
      </w:r>
    </w:p>
    <w:p w14:paraId="4140BCFE">
      <w:pPr>
        <w:widowControl w:val="0"/>
        <w:spacing w:after="0" w:line="400" w:lineRule="exact"/>
        <w:rPr>
          <w:rFonts w:hint="eastAsia" w:ascii="宋体" w:hAnsi="宋体"/>
          <w:bCs/>
          <w:color w:val="auto"/>
          <w:sz w:val="21"/>
          <w:szCs w:val="21"/>
          <w:highlight w:val="none"/>
        </w:rPr>
      </w:pPr>
      <w:r>
        <w:rPr>
          <w:rFonts w:hint="eastAsia" w:ascii="宋体" w:hAnsi="宋体"/>
          <w:bCs/>
          <w:color w:val="auto"/>
          <w:sz w:val="21"/>
          <w:szCs w:val="21"/>
          <w:highlight w:val="none"/>
        </w:rPr>
        <w:t xml:space="preserve">    3.2  业主应向勘察人提供开展勘察工作所需要的经国家有关部门审查批准的前一阶段(工可报告或初步设计)的全部勘察设计文件、资料及附件、有关的协议、文件等，并对提供的原始资料的完整性负责，原始资料的可靠性由相关提供主体负责并承担相应责任。</w:t>
      </w:r>
    </w:p>
    <w:p w14:paraId="284D7C60">
      <w:pPr>
        <w:widowControl w:val="0"/>
        <w:spacing w:after="0" w:line="400" w:lineRule="exact"/>
        <w:rPr>
          <w:rFonts w:hint="eastAsia" w:ascii="宋体" w:hAnsi="宋体"/>
          <w:bCs/>
          <w:color w:val="auto"/>
          <w:sz w:val="21"/>
          <w:szCs w:val="21"/>
          <w:highlight w:val="none"/>
        </w:rPr>
      </w:pPr>
      <w:r>
        <w:rPr>
          <w:rFonts w:hint="eastAsia" w:ascii="宋体" w:hAnsi="宋体"/>
          <w:bCs/>
          <w:color w:val="auto"/>
          <w:sz w:val="21"/>
          <w:szCs w:val="21"/>
          <w:highlight w:val="none"/>
        </w:rPr>
        <w:t xml:space="preserve">    3.3  业主采用勘察人以外的技术方案的，应当征得当事人的书面同意，并经双方协商，合理支付使用费用。</w:t>
      </w:r>
    </w:p>
    <w:p w14:paraId="3D667C65">
      <w:pPr>
        <w:widowControl w:val="0"/>
        <w:spacing w:after="0" w:line="400" w:lineRule="exact"/>
        <w:rPr>
          <w:rFonts w:hint="eastAsia" w:ascii="宋体" w:hAnsi="宋体"/>
          <w:bCs/>
          <w:color w:val="auto"/>
          <w:sz w:val="21"/>
          <w:szCs w:val="21"/>
          <w:highlight w:val="none"/>
        </w:rPr>
      </w:pPr>
      <w:r>
        <w:rPr>
          <w:rFonts w:hint="eastAsia" w:ascii="宋体" w:hAnsi="宋体"/>
          <w:bCs/>
          <w:color w:val="auto"/>
          <w:sz w:val="21"/>
          <w:szCs w:val="21"/>
          <w:highlight w:val="none"/>
        </w:rPr>
        <w:t xml:space="preserve">    3.4  在勘察人员进人现场进行勘察作业时，业主应对勘察人与地方政府及有关部门的协调工作提供必要的协助，但不免除勘察人根据本合同规定应负的责任。</w:t>
      </w:r>
    </w:p>
    <w:p w14:paraId="2C73C9A1">
      <w:pPr>
        <w:widowControl w:val="0"/>
        <w:spacing w:after="0" w:line="400" w:lineRule="exact"/>
        <w:ind w:firstLine="420" w:firstLineChars="200"/>
        <w:rPr>
          <w:rFonts w:hint="eastAsia" w:ascii="宋体" w:hAnsi="宋体"/>
          <w:bCs/>
          <w:color w:val="auto"/>
          <w:sz w:val="21"/>
          <w:szCs w:val="21"/>
          <w:highlight w:val="none"/>
        </w:rPr>
      </w:pPr>
      <w:r>
        <w:rPr>
          <w:rFonts w:hint="eastAsia" w:ascii="宋体" w:hAnsi="宋体"/>
          <w:bCs/>
          <w:color w:val="auto"/>
          <w:sz w:val="21"/>
          <w:szCs w:val="21"/>
          <w:highlight w:val="none"/>
        </w:rPr>
        <w:t>3.5  业主应认真组织专家或委托咨询审查单位对勘察成果和为了满足勘察需要而进行的各种研究试验成果进行审查，向勘察人提供上级主管部门对设计文件进行审查后的批复意见。对勘察人在贯彻落实审查意见时提出的有关问题应及时认真予以解答，但并不免除勘察人根据本合同规定应负的责任。</w:t>
      </w:r>
    </w:p>
    <w:p w14:paraId="7B34B9BB">
      <w:pPr>
        <w:widowControl w:val="0"/>
        <w:spacing w:after="0" w:line="400" w:lineRule="exact"/>
        <w:rPr>
          <w:rFonts w:hint="eastAsia" w:ascii="宋体" w:hAnsi="宋体"/>
          <w:bCs/>
          <w:color w:val="auto"/>
          <w:sz w:val="21"/>
          <w:szCs w:val="21"/>
          <w:highlight w:val="none"/>
        </w:rPr>
      </w:pPr>
      <w:r>
        <w:rPr>
          <w:rFonts w:hint="eastAsia" w:ascii="宋体" w:hAnsi="宋体"/>
          <w:bCs/>
          <w:color w:val="auto"/>
          <w:sz w:val="21"/>
          <w:szCs w:val="21"/>
          <w:highlight w:val="none"/>
        </w:rPr>
        <w:t xml:space="preserve">    3.6  除合同另有规定外，业主应保护勘察人勘察方案。未经勘察人同意，业主对勘察人交付的勘察成果不得擅自修改、或向第三方转让或用于本合同以外的项目。</w:t>
      </w:r>
    </w:p>
    <w:p w14:paraId="4945F864">
      <w:pPr>
        <w:widowControl w:val="0"/>
        <w:spacing w:after="0" w:line="400" w:lineRule="exact"/>
        <w:rPr>
          <w:rFonts w:hint="eastAsia" w:ascii="宋体" w:hAnsi="宋体"/>
          <w:bCs/>
          <w:color w:val="auto"/>
          <w:sz w:val="21"/>
          <w:szCs w:val="21"/>
          <w:highlight w:val="none"/>
        </w:rPr>
      </w:pPr>
      <w:r>
        <w:rPr>
          <w:rFonts w:hint="eastAsia" w:ascii="宋体" w:hAnsi="宋体"/>
          <w:bCs/>
          <w:color w:val="auto"/>
          <w:sz w:val="21"/>
          <w:szCs w:val="21"/>
          <w:highlight w:val="none"/>
        </w:rPr>
        <w:t xml:space="preserve">    3.7  由于执行业主的书面指令而造成的勘察质量事故应由业主承担责任。但不免除勘察人根据本合同规定应负的责任。</w:t>
      </w:r>
    </w:p>
    <w:p w14:paraId="720AE9E9">
      <w:pPr>
        <w:widowControl w:val="0"/>
        <w:spacing w:after="0" w:line="400" w:lineRule="exact"/>
        <w:ind w:firstLine="480"/>
        <w:rPr>
          <w:rFonts w:hint="eastAsia" w:ascii="宋体" w:hAnsi="宋体"/>
          <w:bCs/>
          <w:color w:val="auto"/>
          <w:sz w:val="21"/>
          <w:szCs w:val="21"/>
          <w:highlight w:val="none"/>
        </w:rPr>
      </w:pPr>
      <w:r>
        <w:rPr>
          <w:rFonts w:hint="eastAsia" w:ascii="宋体" w:hAnsi="宋体"/>
          <w:bCs/>
          <w:color w:val="auto"/>
          <w:sz w:val="21"/>
          <w:szCs w:val="21"/>
          <w:highlight w:val="none"/>
        </w:rPr>
        <w:t>3.8  业主不得以压低勘察费、增加工作量、缩短勘察周期等作为中标的条件，不得与勘察人再行订立背离合同实质性内容的其它协议。</w:t>
      </w:r>
    </w:p>
    <w:p w14:paraId="3E9C977F">
      <w:pPr>
        <w:widowControl w:val="0"/>
        <w:spacing w:after="0" w:line="400" w:lineRule="exact"/>
        <w:rPr>
          <w:rFonts w:hint="eastAsia" w:ascii="宋体" w:hAnsi="宋体"/>
          <w:b/>
          <w:bCs/>
          <w:color w:val="auto"/>
          <w:sz w:val="21"/>
          <w:szCs w:val="21"/>
          <w:highlight w:val="none"/>
        </w:rPr>
      </w:pPr>
      <w:r>
        <w:rPr>
          <w:rFonts w:hint="eastAsia" w:ascii="宋体" w:hAnsi="宋体"/>
          <w:b/>
          <w:bCs/>
          <w:color w:val="auto"/>
          <w:sz w:val="21"/>
          <w:szCs w:val="21"/>
          <w:highlight w:val="none"/>
        </w:rPr>
        <w:t>4.勘察人的责任与义务</w:t>
      </w:r>
    </w:p>
    <w:p w14:paraId="284C3325">
      <w:pPr>
        <w:widowControl w:val="0"/>
        <w:spacing w:after="0" w:line="400" w:lineRule="exact"/>
        <w:rPr>
          <w:rFonts w:hint="eastAsia" w:ascii="宋体" w:hAnsi="宋体"/>
          <w:bCs/>
          <w:color w:val="auto"/>
          <w:sz w:val="21"/>
          <w:szCs w:val="21"/>
          <w:highlight w:val="none"/>
        </w:rPr>
      </w:pPr>
      <w:r>
        <w:rPr>
          <w:rFonts w:hint="eastAsia" w:ascii="宋体" w:hAnsi="宋体"/>
          <w:bCs/>
          <w:color w:val="auto"/>
          <w:sz w:val="21"/>
          <w:szCs w:val="21"/>
          <w:highlight w:val="none"/>
        </w:rPr>
        <w:t xml:space="preserve">    4.1  勘察人应根据本合同工程项目的具体情况，按照国家有关工程建设标准强制性条文和建设部、交通部等部门关于勘察方面的现行技术标准、规范、规程、定额、办法、示例等有关规定，完成本合同工程的勘察工作。</w:t>
      </w:r>
    </w:p>
    <w:p w14:paraId="6F5D76A1">
      <w:pPr>
        <w:widowControl w:val="0"/>
        <w:spacing w:after="0" w:line="400" w:lineRule="exact"/>
        <w:rPr>
          <w:rFonts w:hint="eastAsia" w:ascii="宋体" w:hAnsi="宋体"/>
          <w:bCs/>
          <w:color w:val="auto"/>
          <w:sz w:val="21"/>
          <w:szCs w:val="21"/>
          <w:highlight w:val="none"/>
        </w:rPr>
      </w:pPr>
      <w:r>
        <w:rPr>
          <w:rFonts w:hint="eastAsia" w:ascii="宋体" w:hAnsi="宋体"/>
          <w:bCs/>
          <w:color w:val="auto"/>
          <w:sz w:val="21"/>
          <w:szCs w:val="21"/>
          <w:highlight w:val="none"/>
        </w:rPr>
        <w:t xml:space="preserve">    凡国家规定须由专项勘察资质单位进行勘察的项目(如地质灾害评估、地震危险性分析等)，勘察人必须具有相应资质或委托具有相应资质的单位承担。</w:t>
      </w:r>
    </w:p>
    <w:p w14:paraId="018D2090">
      <w:pPr>
        <w:widowControl w:val="0"/>
        <w:spacing w:after="0" w:line="400" w:lineRule="exact"/>
        <w:ind w:firstLine="480"/>
        <w:rPr>
          <w:rFonts w:hint="eastAsia" w:ascii="宋体" w:hAnsi="宋体"/>
          <w:bCs/>
          <w:color w:val="auto"/>
          <w:sz w:val="21"/>
          <w:szCs w:val="21"/>
          <w:highlight w:val="none"/>
        </w:rPr>
      </w:pPr>
      <w:r>
        <w:rPr>
          <w:rFonts w:hint="eastAsia" w:ascii="宋体" w:hAnsi="宋体"/>
          <w:bCs/>
          <w:color w:val="auto"/>
          <w:sz w:val="21"/>
          <w:szCs w:val="21"/>
          <w:highlight w:val="none"/>
        </w:rPr>
        <w:t>4.2  勘察人应按《公路勘察设计工序管理试行办法》做好勘察的质量管理工作，建立健全勘察质量保证体系，加强勘察全过程的质量控制，建立完整的勘察文件的项目负责、审核、审定、会签和批准制度，并对本合同工程的勘察质量终生负责。</w:t>
      </w:r>
    </w:p>
    <w:p w14:paraId="2413586A">
      <w:pPr>
        <w:widowControl w:val="0"/>
        <w:spacing w:after="0" w:line="400" w:lineRule="exact"/>
        <w:ind w:firstLine="420" w:firstLineChars="200"/>
        <w:rPr>
          <w:rFonts w:hint="eastAsia" w:ascii="宋体" w:hAnsi="宋体"/>
          <w:bCs/>
          <w:color w:val="auto"/>
          <w:sz w:val="21"/>
          <w:szCs w:val="21"/>
          <w:highlight w:val="none"/>
        </w:rPr>
      </w:pPr>
      <w:r>
        <w:rPr>
          <w:rFonts w:hint="eastAsia" w:ascii="宋体" w:hAnsi="宋体"/>
          <w:bCs/>
          <w:color w:val="auto"/>
          <w:sz w:val="21"/>
          <w:szCs w:val="21"/>
          <w:highlight w:val="none"/>
        </w:rPr>
        <w:t>4.3  勘察人提供的勘察成果必须真实、准确、可靠。在勘察过程中，勘察人应与本项目相干扰的铁路、管线、电力电信及其他相关建筑设施或特殊保护区域的主管部门签订责任明确的书面协议，确保本项目顺利实施。</w:t>
      </w:r>
    </w:p>
    <w:p w14:paraId="6BC2DB8E">
      <w:pPr>
        <w:widowControl w:val="0"/>
        <w:spacing w:after="0" w:line="400" w:lineRule="exact"/>
        <w:ind w:firstLine="480"/>
        <w:rPr>
          <w:rFonts w:hint="eastAsia" w:ascii="宋体" w:hAnsi="宋体"/>
          <w:bCs/>
          <w:color w:val="auto"/>
          <w:sz w:val="21"/>
          <w:szCs w:val="21"/>
          <w:highlight w:val="none"/>
        </w:rPr>
      </w:pPr>
      <w:r>
        <w:rPr>
          <w:rFonts w:hint="eastAsia" w:ascii="宋体" w:hAnsi="宋体"/>
          <w:bCs/>
          <w:color w:val="auto"/>
          <w:sz w:val="21"/>
          <w:szCs w:val="21"/>
          <w:highlight w:val="none"/>
        </w:rPr>
        <w:t>4.4  勘察人必须遵循国家法律和有关方针政策。</w:t>
      </w:r>
    </w:p>
    <w:p w14:paraId="4791628F">
      <w:pPr>
        <w:widowControl w:val="0"/>
        <w:spacing w:after="0" w:line="400" w:lineRule="exact"/>
        <w:rPr>
          <w:rFonts w:hint="eastAsia" w:ascii="宋体" w:hAnsi="宋体"/>
          <w:bCs/>
          <w:color w:val="auto"/>
          <w:sz w:val="21"/>
          <w:szCs w:val="21"/>
          <w:highlight w:val="none"/>
        </w:rPr>
      </w:pPr>
      <w:r>
        <w:rPr>
          <w:rFonts w:hint="eastAsia" w:ascii="宋体" w:hAnsi="宋体"/>
          <w:bCs/>
          <w:color w:val="auto"/>
          <w:sz w:val="21"/>
          <w:szCs w:val="21"/>
          <w:highlight w:val="none"/>
        </w:rPr>
        <w:t xml:space="preserve">    4.5  勘察文件必须符合下列要求：</w:t>
      </w:r>
    </w:p>
    <w:p w14:paraId="67936C29">
      <w:pPr>
        <w:widowControl w:val="0"/>
        <w:spacing w:after="0" w:line="400" w:lineRule="exact"/>
        <w:rPr>
          <w:rFonts w:hint="eastAsia" w:ascii="宋体" w:hAnsi="宋体"/>
          <w:bCs/>
          <w:color w:val="auto"/>
          <w:sz w:val="21"/>
          <w:szCs w:val="21"/>
          <w:highlight w:val="none"/>
        </w:rPr>
      </w:pPr>
      <w:r>
        <w:rPr>
          <w:rFonts w:hint="eastAsia" w:ascii="宋体" w:hAnsi="宋体"/>
          <w:bCs/>
          <w:color w:val="auto"/>
          <w:sz w:val="21"/>
          <w:szCs w:val="21"/>
          <w:highlight w:val="none"/>
        </w:rPr>
        <w:t xml:space="preserve">    4.5.1勘察文件的编制必须严格执行国家基本建设程序、工程建设标准强制性条文及有关工程建设的法律、法规、规章、规范、标准、规程、定额和合同的要求；</w:t>
      </w:r>
    </w:p>
    <w:p w14:paraId="290E7E09">
      <w:pPr>
        <w:widowControl w:val="0"/>
        <w:spacing w:after="0" w:line="400" w:lineRule="exact"/>
        <w:rPr>
          <w:rFonts w:hint="eastAsia" w:ascii="宋体" w:hAnsi="宋体"/>
          <w:bCs/>
          <w:color w:val="auto"/>
          <w:sz w:val="21"/>
          <w:szCs w:val="21"/>
          <w:highlight w:val="none"/>
        </w:rPr>
      </w:pPr>
      <w:r>
        <w:rPr>
          <w:rFonts w:hint="eastAsia" w:ascii="宋体" w:hAnsi="宋体"/>
          <w:bCs/>
          <w:color w:val="auto"/>
          <w:sz w:val="21"/>
          <w:szCs w:val="21"/>
          <w:highlight w:val="none"/>
        </w:rPr>
        <w:t xml:space="preserve">    4.5.2 勘察依据的基本资料应完整、准确、可靠；</w:t>
      </w:r>
    </w:p>
    <w:p w14:paraId="1DF5C366">
      <w:pPr>
        <w:widowControl w:val="0"/>
        <w:spacing w:after="0" w:line="400" w:lineRule="exact"/>
        <w:rPr>
          <w:rFonts w:hint="eastAsia" w:ascii="宋体" w:hAnsi="宋体"/>
          <w:bCs/>
          <w:color w:val="auto"/>
          <w:sz w:val="21"/>
          <w:szCs w:val="21"/>
          <w:highlight w:val="none"/>
        </w:rPr>
      </w:pPr>
      <w:r>
        <w:rPr>
          <w:rFonts w:hint="eastAsia" w:ascii="宋体" w:hAnsi="宋体"/>
          <w:bCs/>
          <w:color w:val="auto"/>
          <w:sz w:val="21"/>
          <w:szCs w:val="21"/>
          <w:highlight w:val="none"/>
        </w:rPr>
        <w:t xml:space="preserve">    4.5.3</w:t>
      </w:r>
      <w:r>
        <w:rPr>
          <w:rFonts w:hint="eastAsia" w:ascii="宋体" w:hAnsi="宋体"/>
          <w:bCs/>
          <w:color w:val="auto"/>
          <w:spacing w:val="-4"/>
          <w:sz w:val="21"/>
          <w:szCs w:val="21"/>
          <w:highlight w:val="none"/>
        </w:rPr>
        <w:t>勘察文件的深度应满足详细勘察阶段的有关规定要求，并符合相关规范的要求；</w:t>
      </w:r>
      <w:r>
        <w:rPr>
          <w:rFonts w:hint="eastAsia" w:ascii="宋体" w:hAnsi="宋体"/>
          <w:bCs/>
          <w:color w:val="auto"/>
          <w:sz w:val="21"/>
          <w:szCs w:val="21"/>
          <w:highlight w:val="none"/>
        </w:rPr>
        <w:t xml:space="preserve"> </w:t>
      </w:r>
    </w:p>
    <w:p w14:paraId="4F9ABBFA">
      <w:pPr>
        <w:widowControl w:val="0"/>
        <w:spacing w:after="0" w:line="400" w:lineRule="exact"/>
        <w:rPr>
          <w:rFonts w:hint="eastAsia" w:ascii="宋体" w:hAnsi="宋体"/>
          <w:bCs/>
          <w:color w:val="auto"/>
          <w:sz w:val="21"/>
          <w:szCs w:val="21"/>
          <w:highlight w:val="none"/>
        </w:rPr>
      </w:pPr>
      <w:r>
        <w:rPr>
          <w:rFonts w:hint="eastAsia" w:ascii="宋体" w:hAnsi="宋体"/>
          <w:bCs/>
          <w:color w:val="auto"/>
          <w:sz w:val="21"/>
          <w:szCs w:val="21"/>
          <w:highlight w:val="none"/>
        </w:rPr>
        <w:t xml:space="preserve">    4.6  根据本工程项目特点，特制定本项目勘察技术要求，详见勘察合同专用条款第4.6款。</w:t>
      </w:r>
    </w:p>
    <w:p w14:paraId="1DC7142D">
      <w:pPr>
        <w:widowControl w:val="0"/>
        <w:spacing w:after="0" w:line="400" w:lineRule="exact"/>
        <w:rPr>
          <w:rFonts w:hint="eastAsia" w:ascii="宋体" w:hAnsi="宋体"/>
          <w:bCs/>
          <w:color w:val="auto"/>
          <w:sz w:val="21"/>
          <w:szCs w:val="21"/>
          <w:highlight w:val="none"/>
        </w:rPr>
      </w:pPr>
      <w:r>
        <w:rPr>
          <w:rFonts w:hint="eastAsia" w:ascii="宋体" w:hAnsi="宋体"/>
          <w:bCs/>
          <w:color w:val="auto"/>
          <w:sz w:val="21"/>
          <w:szCs w:val="21"/>
          <w:highlight w:val="none"/>
        </w:rPr>
        <w:t xml:space="preserve">    4.7  勘察人提供的勘察文件必须接受业主或业主委托的咨询审查单位及业主的上级行政主管部门的审查，凡审查意见中提出的问题，勘察人应逐条给予认真贯彻落实，提交书面的反馈意见并免费修改勘察文件直到满足审批为准。</w:t>
      </w:r>
    </w:p>
    <w:p w14:paraId="42EF4DD0">
      <w:pPr>
        <w:widowControl w:val="0"/>
        <w:spacing w:after="0" w:line="400" w:lineRule="exact"/>
        <w:rPr>
          <w:rFonts w:hint="eastAsia" w:ascii="宋体" w:hAnsi="宋体"/>
          <w:bCs/>
          <w:color w:val="auto"/>
          <w:sz w:val="21"/>
          <w:szCs w:val="21"/>
          <w:highlight w:val="none"/>
        </w:rPr>
      </w:pPr>
      <w:r>
        <w:rPr>
          <w:rFonts w:hint="eastAsia" w:ascii="宋体" w:hAnsi="宋体"/>
          <w:bCs/>
          <w:color w:val="auto"/>
          <w:sz w:val="21"/>
          <w:szCs w:val="21"/>
          <w:highlight w:val="none"/>
        </w:rPr>
        <w:t xml:space="preserve">    4.8  勘察人应积极配合业主进行各项招标工作，并按业主要求派遣合格的勘察代表参与做好施工后续服务。</w:t>
      </w:r>
    </w:p>
    <w:p w14:paraId="4D2E236F">
      <w:pPr>
        <w:widowControl w:val="0"/>
        <w:spacing w:after="0" w:line="400" w:lineRule="exact"/>
        <w:rPr>
          <w:rFonts w:hint="eastAsia" w:ascii="宋体" w:hAnsi="宋体"/>
          <w:bCs/>
          <w:color w:val="auto"/>
          <w:sz w:val="21"/>
          <w:szCs w:val="21"/>
          <w:highlight w:val="none"/>
        </w:rPr>
      </w:pPr>
      <w:r>
        <w:rPr>
          <w:rFonts w:hint="eastAsia" w:ascii="宋体" w:hAnsi="宋体"/>
          <w:bCs/>
          <w:color w:val="auto"/>
          <w:sz w:val="21"/>
          <w:szCs w:val="21"/>
          <w:highlight w:val="none"/>
        </w:rPr>
        <w:t xml:space="preserve">    4.9  人员保证与变更</w:t>
      </w:r>
    </w:p>
    <w:p w14:paraId="26B2AA7D">
      <w:pPr>
        <w:widowControl w:val="0"/>
        <w:spacing w:after="0" w:line="400" w:lineRule="exact"/>
        <w:rPr>
          <w:rFonts w:hint="eastAsia" w:ascii="宋体" w:hAnsi="宋体"/>
          <w:bCs/>
          <w:color w:val="auto"/>
          <w:sz w:val="21"/>
          <w:szCs w:val="21"/>
          <w:highlight w:val="none"/>
        </w:rPr>
      </w:pPr>
      <w:r>
        <w:rPr>
          <w:rFonts w:hint="eastAsia" w:ascii="宋体" w:hAnsi="宋体"/>
          <w:bCs/>
          <w:color w:val="auto"/>
          <w:sz w:val="21"/>
          <w:szCs w:val="21"/>
          <w:highlight w:val="none"/>
        </w:rPr>
        <w:t xml:space="preserve">    4.9.1  勘察人应安排合同附件中承诺的人员投入工作，并在施工服务期内保持人员的相对稳定。</w:t>
      </w:r>
    </w:p>
    <w:p w14:paraId="04F7BD8D">
      <w:pPr>
        <w:widowControl w:val="0"/>
        <w:spacing w:after="0" w:line="400" w:lineRule="exact"/>
        <w:rPr>
          <w:rFonts w:hint="eastAsia" w:ascii="宋体" w:hAnsi="宋体"/>
          <w:bCs/>
          <w:color w:val="auto"/>
          <w:sz w:val="21"/>
          <w:szCs w:val="21"/>
          <w:highlight w:val="none"/>
        </w:rPr>
      </w:pPr>
      <w:r>
        <w:rPr>
          <w:rFonts w:hint="eastAsia" w:ascii="宋体" w:hAnsi="宋体"/>
          <w:bCs/>
          <w:color w:val="auto"/>
          <w:sz w:val="21"/>
          <w:szCs w:val="21"/>
          <w:highlight w:val="none"/>
        </w:rPr>
        <w:t xml:space="preserve">    4.9.2  如果勘察人员不能胜任工作、失职或从事其他违法活动，业主有权以书面形式提出更换要求，勘察人应立即派出具有同等资历的人员替换；若非因上述原因，勘察人有权拒绝。</w:t>
      </w:r>
    </w:p>
    <w:p w14:paraId="248C5601">
      <w:pPr>
        <w:widowControl w:val="0"/>
        <w:spacing w:after="0" w:line="400" w:lineRule="exact"/>
        <w:ind w:firstLine="630" w:firstLineChars="300"/>
        <w:rPr>
          <w:rFonts w:hint="eastAsia" w:ascii="宋体" w:hAnsi="宋体"/>
          <w:bCs/>
          <w:color w:val="auto"/>
          <w:sz w:val="21"/>
          <w:szCs w:val="21"/>
          <w:highlight w:val="none"/>
        </w:rPr>
      </w:pPr>
      <w:r>
        <w:rPr>
          <w:rFonts w:hint="eastAsia" w:ascii="宋体" w:hAnsi="宋体"/>
          <w:bCs/>
          <w:color w:val="auto"/>
          <w:sz w:val="21"/>
          <w:szCs w:val="21"/>
          <w:highlight w:val="none"/>
        </w:rPr>
        <w:t>勘察人在事先取得业主的同意后可以更换其所派驻现场的人员，但应符合合同规定的资历要求，否则，业主有权拒绝。</w:t>
      </w:r>
    </w:p>
    <w:p w14:paraId="35B57F6C">
      <w:pPr>
        <w:widowControl w:val="0"/>
        <w:spacing w:after="0" w:line="400" w:lineRule="exact"/>
        <w:ind w:firstLine="480"/>
        <w:rPr>
          <w:rFonts w:hint="eastAsia" w:ascii="宋体" w:hAnsi="宋体"/>
          <w:bCs/>
          <w:color w:val="auto"/>
          <w:sz w:val="21"/>
          <w:szCs w:val="21"/>
          <w:highlight w:val="none"/>
        </w:rPr>
      </w:pPr>
      <w:r>
        <w:rPr>
          <w:rFonts w:hint="eastAsia" w:ascii="宋体" w:hAnsi="宋体"/>
          <w:bCs/>
          <w:color w:val="auto"/>
          <w:sz w:val="21"/>
          <w:szCs w:val="21"/>
          <w:highlight w:val="none"/>
        </w:rPr>
        <w:t>4.9.3  勘察人的工作进度没有达到合同附件中承诺的进度计划时，业主有权提出要求增加勘察人员及设备，勘察人应立即安排，其费用被认为已包含在合同价格之中。</w:t>
      </w:r>
    </w:p>
    <w:p w14:paraId="00BA58A8">
      <w:pPr>
        <w:widowControl w:val="0"/>
        <w:spacing w:after="0" w:line="400" w:lineRule="exact"/>
        <w:ind w:firstLine="480"/>
        <w:rPr>
          <w:rFonts w:hint="eastAsia" w:ascii="宋体" w:hAnsi="宋体"/>
          <w:bCs/>
          <w:color w:val="auto"/>
          <w:sz w:val="21"/>
          <w:szCs w:val="21"/>
          <w:highlight w:val="none"/>
        </w:rPr>
      </w:pPr>
      <w:r>
        <w:rPr>
          <w:rFonts w:hint="eastAsia" w:ascii="宋体" w:hAnsi="宋体"/>
          <w:bCs/>
          <w:color w:val="auto"/>
          <w:sz w:val="21"/>
          <w:szCs w:val="21"/>
          <w:highlight w:val="none"/>
        </w:rPr>
        <w:t>4.9.4  由于业主提出加快勘察进度，提前完成勘察工作而增加人员时，其费用应另外协商计列。</w:t>
      </w:r>
    </w:p>
    <w:p w14:paraId="536AC5D1">
      <w:pPr>
        <w:widowControl w:val="0"/>
        <w:spacing w:after="0" w:line="400" w:lineRule="exact"/>
        <w:ind w:firstLine="468"/>
        <w:rPr>
          <w:rFonts w:hint="eastAsia" w:ascii="宋体" w:hAnsi="宋体"/>
          <w:bCs/>
          <w:color w:val="auto"/>
          <w:sz w:val="21"/>
          <w:szCs w:val="21"/>
          <w:highlight w:val="none"/>
        </w:rPr>
      </w:pPr>
      <w:r>
        <w:rPr>
          <w:rFonts w:hint="eastAsia" w:ascii="宋体" w:hAnsi="宋体"/>
          <w:bCs/>
          <w:color w:val="auto"/>
          <w:sz w:val="21"/>
          <w:szCs w:val="21"/>
          <w:highlight w:val="none"/>
        </w:rPr>
        <w:t>4.10  勘察人在勘察过程中，如果因其采用的技术方案等方面发生侵犯专利权的行为而引起索赔或诉讼，则勘察人应承担全部责任，并保障业主免于承担由此造成的一切损害和损失。</w:t>
      </w:r>
    </w:p>
    <w:p w14:paraId="28E72EA1">
      <w:pPr>
        <w:widowControl w:val="0"/>
        <w:spacing w:after="0" w:line="400" w:lineRule="exact"/>
        <w:ind w:firstLine="420" w:firstLineChars="200"/>
        <w:rPr>
          <w:rFonts w:hint="eastAsia" w:ascii="宋体" w:hAnsi="宋体"/>
          <w:bCs/>
          <w:color w:val="auto"/>
          <w:sz w:val="21"/>
          <w:szCs w:val="21"/>
          <w:highlight w:val="none"/>
        </w:rPr>
      </w:pPr>
      <w:r>
        <w:rPr>
          <w:rFonts w:hint="eastAsia" w:ascii="宋体" w:hAnsi="宋体"/>
          <w:bCs/>
          <w:color w:val="auto"/>
          <w:sz w:val="21"/>
          <w:szCs w:val="21"/>
          <w:highlight w:val="none"/>
        </w:rPr>
        <w:t>4.11  勘察人除需承担在工作过程中的决策和指导责任外，对其工作范围外的工作不承担任何责任。</w:t>
      </w:r>
    </w:p>
    <w:p w14:paraId="72815CDA">
      <w:pPr>
        <w:widowControl w:val="0"/>
        <w:spacing w:after="0" w:line="400" w:lineRule="exact"/>
        <w:ind w:firstLine="480"/>
        <w:rPr>
          <w:rFonts w:hint="eastAsia" w:ascii="宋体" w:hAnsi="宋体"/>
          <w:bCs/>
          <w:color w:val="auto"/>
          <w:sz w:val="21"/>
          <w:szCs w:val="21"/>
          <w:highlight w:val="none"/>
        </w:rPr>
      </w:pPr>
      <w:r>
        <w:rPr>
          <w:rFonts w:hint="eastAsia" w:ascii="宋体" w:hAnsi="宋体"/>
          <w:bCs/>
          <w:color w:val="auto"/>
          <w:sz w:val="21"/>
          <w:szCs w:val="21"/>
          <w:highlight w:val="none"/>
        </w:rPr>
        <w:t>4.12  对于勘察人在勘察过程中发生的人员伤亡，或者造成第三方的人员伤亡，或财产损失，或由此而引起的其他一切损害和损失，业主均不承担责任。</w:t>
      </w:r>
    </w:p>
    <w:p w14:paraId="28BA9D2E">
      <w:pPr>
        <w:widowControl w:val="0"/>
        <w:spacing w:after="0" w:line="400" w:lineRule="exact"/>
        <w:ind w:firstLine="420" w:firstLineChars="200"/>
        <w:rPr>
          <w:rFonts w:hint="eastAsia" w:ascii="宋体" w:hAnsi="宋体"/>
          <w:bCs/>
          <w:color w:val="auto"/>
          <w:sz w:val="21"/>
          <w:szCs w:val="21"/>
          <w:highlight w:val="none"/>
        </w:rPr>
      </w:pPr>
      <w:r>
        <w:rPr>
          <w:rFonts w:hint="eastAsia" w:ascii="宋体" w:hAnsi="宋体"/>
          <w:bCs/>
          <w:color w:val="auto"/>
          <w:sz w:val="21"/>
          <w:szCs w:val="21"/>
          <w:highlight w:val="none"/>
        </w:rPr>
        <w:t>4.13  根据国家有关法律、法规、政策的要求，勘察人应积极采用新技术、新材料、新工艺、以利于勘察自身的技术进步和提高建设项目的技术含量，提高建设项目的投资效益。</w:t>
      </w:r>
    </w:p>
    <w:p w14:paraId="717FEC8E">
      <w:pPr>
        <w:widowControl w:val="0"/>
        <w:spacing w:after="0" w:line="400" w:lineRule="exact"/>
        <w:rPr>
          <w:rFonts w:hint="eastAsia" w:ascii="宋体" w:hAnsi="宋体"/>
          <w:b/>
          <w:bCs/>
          <w:color w:val="auto"/>
          <w:sz w:val="21"/>
          <w:szCs w:val="21"/>
          <w:highlight w:val="none"/>
        </w:rPr>
      </w:pPr>
      <w:r>
        <w:rPr>
          <w:rFonts w:hint="eastAsia" w:ascii="宋体" w:hAnsi="宋体"/>
          <w:b/>
          <w:bCs/>
          <w:color w:val="auto"/>
          <w:sz w:val="21"/>
          <w:szCs w:val="21"/>
          <w:highlight w:val="none"/>
        </w:rPr>
        <w:t>5.违约与赔偿</w:t>
      </w:r>
    </w:p>
    <w:p w14:paraId="0B871E22">
      <w:pPr>
        <w:widowControl w:val="0"/>
        <w:spacing w:after="0" w:line="400" w:lineRule="exact"/>
        <w:ind w:firstLine="315" w:firstLineChars="150"/>
        <w:rPr>
          <w:rFonts w:hint="eastAsia" w:ascii="宋体" w:hAnsi="宋体"/>
          <w:bCs/>
          <w:color w:val="auto"/>
          <w:sz w:val="21"/>
          <w:szCs w:val="21"/>
          <w:highlight w:val="none"/>
        </w:rPr>
      </w:pPr>
      <w:r>
        <w:rPr>
          <w:rFonts w:hint="eastAsia" w:ascii="宋体" w:hAnsi="宋体"/>
          <w:bCs/>
          <w:color w:val="auto"/>
          <w:sz w:val="21"/>
          <w:szCs w:val="21"/>
          <w:highlight w:val="none"/>
        </w:rPr>
        <w:t xml:space="preserve"> 5.1  业主的违约</w:t>
      </w:r>
    </w:p>
    <w:p w14:paraId="41DFFB4B">
      <w:pPr>
        <w:widowControl w:val="0"/>
        <w:spacing w:after="0" w:line="400" w:lineRule="exact"/>
        <w:rPr>
          <w:rFonts w:hint="eastAsia" w:ascii="宋体" w:hAnsi="宋体"/>
          <w:bCs/>
          <w:color w:val="auto"/>
          <w:sz w:val="21"/>
          <w:szCs w:val="21"/>
          <w:highlight w:val="none"/>
        </w:rPr>
      </w:pPr>
      <w:r>
        <w:rPr>
          <w:rFonts w:hint="eastAsia" w:ascii="宋体" w:hAnsi="宋体"/>
          <w:bCs/>
          <w:color w:val="auto"/>
          <w:sz w:val="21"/>
          <w:szCs w:val="21"/>
          <w:highlight w:val="none"/>
        </w:rPr>
        <w:t xml:space="preserve">    5.1.1由于业主变更勘察设计项目、规模、条件，或提供的资料不准确，或对其所提交资料作较大修改，或未按期提供勘察必需的资料、工作条件，而造成勘察的返工、停工、窝工，业主应按勘察人实际消耗的工作量增付费用；由于业主方要求提前完成勘察工作而导致增加的人员和费用，应另行计列。</w:t>
      </w:r>
    </w:p>
    <w:p w14:paraId="67CC1221">
      <w:pPr>
        <w:widowControl w:val="0"/>
        <w:spacing w:after="0" w:line="400" w:lineRule="exact"/>
        <w:ind w:firstLine="420" w:firstLineChars="200"/>
        <w:rPr>
          <w:rFonts w:hint="eastAsia" w:ascii="宋体" w:hAnsi="宋体"/>
          <w:bCs/>
          <w:color w:val="auto"/>
          <w:sz w:val="21"/>
          <w:szCs w:val="21"/>
          <w:highlight w:val="none"/>
        </w:rPr>
      </w:pPr>
      <w:r>
        <w:rPr>
          <w:rFonts w:hint="eastAsia" w:ascii="宋体" w:hAnsi="宋体"/>
          <w:bCs/>
          <w:color w:val="auto"/>
          <w:sz w:val="21"/>
          <w:szCs w:val="21"/>
          <w:highlight w:val="none"/>
        </w:rPr>
        <w:t>5.1.2业主方超过合同规定的日期支付费用的，应偿付逾期的违约金。偿付办法与金额按合同条款的规定办理。</w:t>
      </w:r>
    </w:p>
    <w:p w14:paraId="227B9854">
      <w:pPr>
        <w:widowControl w:val="0"/>
        <w:spacing w:after="0" w:line="400" w:lineRule="exact"/>
        <w:ind w:firstLine="420" w:firstLineChars="200"/>
        <w:rPr>
          <w:rFonts w:hint="eastAsia" w:ascii="宋体" w:hAnsi="宋体"/>
          <w:bCs/>
          <w:color w:val="auto"/>
          <w:sz w:val="21"/>
          <w:szCs w:val="21"/>
          <w:highlight w:val="none"/>
        </w:rPr>
      </w:pPr>
      <w:r>
        <w:rPr>
          <w:rFonts w:hint="eastAsia" w:ascii="宋体" w:hAnsi="宋体"/>
          <w:bCs/>
          <w:color w:val="auto"/>
          <w:sz w:val="21"/>
          <w:szCs w:val="21"/>
          <w:highlight w:val="none"/>
        </w:rPr>
        <w:t>5.1.3在合同履行期间，业主要求终止或解除合同的(但并非勘察人原因造成)，业主除应按勘察人完成的实际工作量支付费用外，还应按剩余合同价的5%～10%向勘察人支付违约金。</w:t>
      </w:r>
    </w:p>
    <w:p w14:paraId="16677FC2">
      <w:pPr>
        <w:widowControl w:val="0"/>
        <w:spacing w:after="0" w:line="400" w:lineRule="exact"/>
        <w:ind w:firstLine="420" w:firstLineChars="200"/>
        <w:rPr>
          <w:rFonts w:hint="eastAsia" w:ascii="宋体" w:hAnsi="宋体"/>
          <w:bCs/>
          <w:color w:val="auto"/>
          <w:sz w:val="21"/>
          <w:szCs w:val="21"/>
          <w:highlight w:val="none"/>
        </w:rPr>
      </w:pPr>
      <w:r>
        <w:rPr>
          <w:rFonts w:hint="eastAsia" w:ascii="宋体" w:hAnsi="宋体"/>
          <w:bCs/>
          <w:color w:val="auto"/>
          <w:sz w:val="21"/>
          <w:szCs w:val="21"/>
          <w:highlight w:val="none"/>
        </w:rPr>
        <w:t>5.2  勘察人的违约</w:t>
      </w:r>
    </w:p>
    <w:p w14:paraId="5C854AC3">
      <w:pPr>
        <w:widowControl w:val="0"/>
        <w:spacing w:after="0" w:line="400" w:lineRule="exact"/>
        <w:ind w:firstLine="420" w:firstLineChars="200"/>
        <w:rPr>
          <w:rFonts w:hint="eastAsia" w:ascii="宋体" w:hAnsi="宋体"/>
          <w:bCs/>
          <w:color w:val="auto"/>
          <w:sz w:val="21"/>
          <w:szCs w:val="21"/>
          <w:highlight w:val="none"/>
        </w:rPr>
      </w:pPr>
      <w:r>
        <w:rPr>
          <w:rFonts w:hint="eastAsia" w:ascii="宋体" w:hAnsi="宋体"/>
          <w:bCs/>
          <w:color w:val="auto"/>
          <w:sz w:val="21"/>
          <w:szCs w:val="21"/>
          <w:highlight w:val="none"/>
        </w:rPr>
        <w:t>5.2.1  勘察人将勘察任务转包，或者未经业主同意私自分包的，业主将有权中止合同，并计扣勘察人合同价5%～10%的违约金。</w:t>
      </w:r>
    </w:p>
    <w:p w14:paraId="6A3A3889">
      <w:pPr>
        <w:widowControl w:val="0"/>
        <w:spacing w:after="0" w:line="400" w:lineRule="exact"/>
        <w:ind w:firstLine="420" w:firstLineChars="200"/>
        <w:rPr>
          <w:rFonts w:hint="eastAsia" w:ascii="宋体" w:hAnsi="宋体"/>
          <w:bCs/>
          <w:color w:val="auto"/>
          <w:sz w:val="21"/>
          <w:szCs w:val="21"/>
          <w:highlight w:val="none"/>
        </w:rPr>
      </w:pPr>
      <w:r>
        <w:rPr>
          <w:rFonts w:hint="eastAsia" w:ascii="宋体" w:hAnsi="宋体"/>
          <w:bCs/>
          <w:color w:val="auto"/>
          <w:sz w:val="21"/>
          <w:szCs w:val="21"/>
          <w:highlight w:val="none"/>
        </w:rPr>
        <w:t>5.2.2  勘察人末按照国家、建设部及交通部等部门现行的强制性技术标准、规范和规程进行勘察，业主将计扣勘察人合同价5%～10%的违约金。</w:t>
      </w:r>
    </w:p>
    <w:p w14:paraId="03B34E9E">
      <w:pPr>
        <w:widowControl w:val="0"/>
        <w:spacing w:after="0" w:line="400" w:lineRule="exact"/>
        <w:ind w:firstLine="420" w:firstLineChars="200"/>
        <w:rPr>
          <w:rFonts w:hint="eastAsia" w:ascii="宋体" w:hAnsi="宋体"/>
          <w:bCs/>
          <w:color w:val="auto"/>
          <w:sz w:val="21"/>
          <w:szCs w:val="21"/>
          <w:highlight w:val="none"/>
        </w:rPr>
      </w:pPr>
      <w:r>
        <w:rPr>
          <w:rFonts w:hint="eastAsia" w:ascii="宋体" w:hAnsi="宋体"/>
          <w:bCs/>
          <w:color w:val="auto"/>
          <w:sz w:val="21"/>
          <w:szCs w:val="21"/>
          <w:highlight w:val="none"/>
        </w:rPr>
        <w:t>5.2.3  勘察人未能按期提交勘察成果的(业主同意延长期限的除外)，则每延期7天（不足7天按7天计），业主将分别按合同价的3％计扣勘察人违约金。延期超过60天时，业主可以中止合同。</w:t>
      </w:r>
    </w:p>
    <w:p w14:paraId="2A411FE3">
      <w:pPr>
        <w:widowControl w:val="0"/>
        <w:spacing w:after="0" w:line="400" w:lineRule="exact"/>
        <w:ind w:firstLine="420" w:firstLineChars="200"/>
        <w:rPr>
          <w:rFonts w:hint="eastAsia" w:ascii="宋体" w:hAnsi="宋体"/>
          <w:bCs/>
          <w:color w:val="auto"/>
          <w:sz w:val="21"/>
          <w:szCs w:val="21"/>
          <w:highlight w:val="none"/>
        </w:rPr>
      </w:pPr>
      <w:r>
        <w:rPr>
          <w:rFonts w:hint="eastAsia" w:ascii="宋体" w:hAnsi="宋体"/>
          <w:bCs/>
          <w:color w:val="auto"/>
          <w:sz w:val="21"/>
          <w:szCs w:val="21"/>
          <w:highlight w:val="none"/>
        </w:rPr>
        <w:t>5.2.4  因勘察深度不够、资料不足以及勘察质量低劣而被要求返工从而造成质量问题的，除由勘察人负责继续完善勘察外，业主还可视造成的时间延误和费用损失，计扣勘察人合同价5%～10%的违约金。</w:t>
      </w:r>
    </w:p>
    <w:p w14:paraId="6A0D3456">
      <w:pPr>
        <w:widowControl w:val="0"/>
        <w:spacing w:after="0" w:line="400" w:lineRule="exact"/>
        <w:ind w:firstLine="420" w:firstLineChars="200"/>
        <w:rPr>
          <w:rFonts w:hint="eastAsia" w:ascii="宋体" w:hAnsi="宋体"/>
          <w:bCs/>
          <w:color w:val="auto"/>
          <w:sz w:val="21"/>
          <w:szCs w:val="21"/>
          <w:highlight w:val="none"/>
        </w:rPr>
      </w:pPr>
      <w:r>
        <w:rPr>
          <w:rFonts w:hint="eastAsia" w:ascii="宋体" w:hAnsi="宋体"/>
          <w:bCs/>
          <w:color w:val="auto"/>
          <w:sz w:val="21"/>
          <w:szCs w:val="21"/>
          <w:highlight w:val="none"/>
        </w:rPr>
        <w:t>5.2.5  勘察人若未及时选派合格的勘察代表参与现场施工服务的，每延期15天(不足15天按15天计)，业主将按施工配合阶段费用总金额的5%计扣勘察人的违约金。</w:t>
      </w:r>
    </w:p>
    <w:p w14:paraId="37CF4936">
      <w:pPr>
        <w:widowControl w:val="0"/>
        <w:spacing w:after="0" w:line="400" w:lineRule="exact"/>
        <w:ind w:firstLine="420" w:firstLineChars="200"/>
        <w:rPr>
          <w:rFonts w:hint="eastAsia" w:ascii="宋体" w:hAnsi="宋体"/>
          <w:bCs/>
          <w:color w:val="auto"/>
          <w:sz w:val="21"/>
          <w:szCs w:val="21"/>
          <w:highlight w:val="none"/>
        </w:rPr>
      </w:pPr>
      <w:r>
        <w:rPr>
          <w:rFonts w:hint="eastAsia" w:ascii="宋体" w:hAnsi="宋体"/>
          <w:bCs/>
          <w:color w:val="auto"/>
          <w:sz w:val="21"/>
          <w:szCs w:val="21"/>
          <w:highlight w:val="none"/>
        </w:rPr>
        <w:t>5.2.6  因勘察错误而造成一般质量事故的，勘察人除应免收受损失部分的勘察费外，勘察人还应无偿继续完善勘察工作，并承担相当于直接损失部分的赔偿金。</w:t>
      </w:r>
    </w:p>
    <w:p w14:paraId="56CD991A">
      <w:pPr>
        <w:widowControl w:val="0"/>
        <w:spacing w:after="0" w:line="400" w:lineRule="exact"/>
        <w:ind w:firstLine="420" w:firstLineChars="200"/>
        <w:rPr>
          <w:rFonts w:hint="eastAsia" w:ascii="宋体" w:hAnsi="宋体"/>
          <w:bCs/>
          <w:color w:val="auto"/>
          <w:sz w:val="21"/>
          <w:szCs w:val="21"/>
          <w:highlight w:val="none"/>
        </w:rPr>
      </w:pPr>
      <w:r>
        <w:rPr>
          <w:rFonts w:hint="eastAsia" w:ascii="宋体" w:hAnsi="宋体"/>
          <w:bCs/>
          <w:color w:val="auto"/>
          <w:sz w:val="21"/>
          <w:szCs w:val="21"/>
          <w:highlight w:val="none"/>
        </w:rPr>
        <w:t>5.2.7  因勘察错误而造成重大质量事故的，除执行5.2款(6)的规定外，还应赔偿由此造成的间接损失，同时业主有权报请有关主管部门视事故造成的损失情况给予其他处罚。</w:t>
      </w:r>
    </w:p>
    <w:p w14:paraId="0949887B">
      <w:pPr>
        <w:widowControl w:val="0"/>
        <w:spacing w:after="0" w:line="400" w:lineRule="exact"/>
        <w:ind w:firstLine="420" w:firstLineChars="200"/>
        <w:rPr>
          <w:rFonts w:hint="eastAsia" w:ascii="宋体" w:hAnsi="宋体"/>
          <w:bCs/>
          <w:color w:val="auto"/>
          <w:sz w:val="21"/>
          <w:szCs w:val="21"/>
          <w:highlight w:val="none"/>
        </w:rPr>
      </w:pPr>
      <w:r>
        <w:rPr>
          <w:rFonts w:hint="eastAsia" w:ascii="宋体" w:hAnsi="宋体"/>
          <w:bCs/>
          <w:color w:val="auto"/>
          <w:sz w:val="21"/>
          <w:szCs w:val="21"/>
          <w:highlight w:val="none"/>
        </w:rPr>
        <w:t>5.2.8  所有违约金在勘察人履约保证金中扣除，赔偿金在勘察人勘察费中扣除。</w:t>
      </w:r>
    </w:p>
    <w:p w14:paraId="008AA112">
      <w:pPr>
        <w:widowControl w:val="0"/>
        <w:spacing w:after="0" w:line="400" w:lineRule="exact"/>
        <w:ind w:firstLine="420" w:firstLineChars="200"/>
        <w:rPr>
          <w:rFonts w:hint="eastAsia" w:ascii="宋体" w:hAnsi="宋体"/>
          <w:bCs/>
          <w:color w:val="auto"/>
          <w:sz w:val="21"/>
          <w:szCs w:val="21"/>
          <w:highlight w:val="none"/>
        </w:rPr>
      </w:pPr>
      <w:r>
        <w:rPr>
          <w:rFonts w:hint="eastAsia" w:ascii="宋体" w:hAnsi="宋体"/>
          <w:bCs/>
          <w:color w:val="auto"/>
          <w:sz w:val="21"/>
          <w:szCs w:val="21"/>
          <w:highlight w:val="none"/>
        </w:rPr>
        <w:t>5.3  责任的期限</w:t>
      </w:r>
    </w:p>
    <w:p w14:paraId="30DF4DD0">
      <w:pPr>
        <w:pStyle w:val="15"/>
        <w:spacing w:after="0" w:line="400" w:lineRule="exact"/>
        <w:ind w:left="0" w:leftChars="0" w:firstLine="560" w:firstLineChars="200"/>
        <w:rPr>
          <w:rFonts w:hint="eastAsia" w:ascii="宋体" w:hAnsi="宋体"/>
          <w:bCs/>
          <w:color w:val="auto"/>
          <w:szCs w:val="21"/>
          <w:highlight w:val="none"/>
        </w:rPr>
      </w:pPr>
      <w:r>
        <w:rPr>
          <w:rFonts w:hint="eastAsia" w:ascii="宋体" w:hAnsi="宋体"/>
          <w:bCs/>
          <w:color w:val="auto"/>
          <w:szCs w:val="21"/>
          <w:highlight w:val="none"/>
        </w:rPr>
        <w:t>勘察人与业主双方的责任与义务期限为合同书中规定的时间范围。但勘察人对本合同勘察质量的责任则是设计使用年限内的终身责任。</w:t>
      </w:r>
    </w:p>
    <w:p w14:paraId="7E7BC3B1">
      <w:pPr>
        <w:widowControl w:val="0"/>
        <w:spacing w:after="0" w:line="400" w:lineRule="exact"/>
        <w:rPr>
          <w:rFonts w:hint="eastAsia" w:ascii="宋体" w:hAnsi="宋体"/>
          <w:b/>
          <w:bCs/>
          <w:color w:val="auto"/>
          <w:sz w:val="21"/>
          <w:szCs w:val="21"/>
          <w:highlight w:val="none"/>
        </w:rPr>
      </w:pPr>
      <w:r>
        <w:rPr>
          <w:rFonts w:hint="eastAsia" w:ascii="宋体" w:hAnsi="宋体"/>
          <w:b/>
          <w:bCs/>
          <w:color w:val="auto"/>
          <w:sz w:val="21"/>
          <w:szCs w:val="21"/>
          <w:highlight w:val="none"/>
        </w:rPr>
        <w:t>6.合同的生效、变更与终止</w:t>
      </w:r>
    </w:p>
    <w:p w14:paraId="224EF397">
      <w:pPr>
        <w:widowControl w:val="0"/>
        <w:spacing w:after="0" w:line="400" w:lineRule="exact"/>
        <w:ind w:firstLine="420" w:firstLineChars="200"/>
        <w:rPr>
          <w:rFonts w:hint="eastAsia" w:ascii="宋体" w:hAnsi="宋体"/>
          <w:bCs/>
          <w:color w:val="auto"/>
          <w:sz w:val="21"/>
          <w:szCs w:val="21"/>
          <w:highlight w:val="none"/>
        </w:rPr>
      </w:pPr>
      <w:r>
        <w:rPr>
          <w:rFonts w:hint="eastAsia" w:ascii="宋体" w:hAnsi="宋体"/>
          <w:bCs/>
          <w:color w:val="auto"/>
          <w:sz w:val="21"/>
          <w:szCs w:val="21"/>
          <w:highlight w:val="none"/>
        </w:rPr>
        <w:t>6.1  合同的生效</w:t>
      </w:r>
    </w:p>
    <w:p w14:paraId="46BD106F">
      <w:pPr>
        <w:widowControl w:val="0"/>
        <w:spacing w:after="0" w:line="400" w:lineRule="exact"/>
        <w:ind w:firstLine="420" w:firstLineChars="200"/>
        <w:rPr>
          <w:rFonts w:hint="eastAsia" w:ascii="宋体" w:hAnsi="宋体"/>
          <w:bCs/>
          <w:color w:val="auto"/>
          <w:sz w:val="21"/>
          <w:szCs w:val="21"/>
          <w:highlight w:val="none"/>
        </w:rPr>
      </w:pPr>
      <w:r>
        <w:rPr>
          <w:rFonts w:hint="eastAsia" w:ascii="宋体" w:hAnsi="宋体"/>
          <w:bCs/>
          <w:color w:val="auto"/>
          <w:sz w:val="21"/>
          <w:szCs w:val="21"/>
          <w:highlight w:val="none"/>
        </w:rPr>
        <w:t>合同书自双方签字盖章后所有合同文件生效。勘察人工作的开始和完成时间按照合同书的规定执行。</w:t>
      </w:r>
    </w:p>
    <w:p w14:paraId="52D2D0B2">
      <w:pPr>
        <w:widowControl w:val="0"/>
        <w:spacing w:after="0" w:line="400" w:lineRule="exact"/>
        <w:rPr>
          <w:rFonts w:hint="eastAsia" w:ascii="宋体" w:hAnsi="宋体"/>
          <w:bCs/>
          <w:color w:val="auto"/>
          <w:sz w:val="21"/>
          <w:szCs w:val="21"/>
          <w:highlight w:val="none"/>
        </w:rPr>
      </w:pPr>
      <w:r>
        <w:rPr>
          <w:rFonts w:hint="eastAsia" w:ascii="宋体" w:hAnsi="宋体"/>
          <w:bCs/>
          <w:color w:val="auto"/>
          <w:sz w:val="21"/>
          <w:szCs w:val="21"/>
          <w:highlight w:val="none"/>
        </w:rPr>
        <w:t xml:space="preserve">    6.2  履约保证金</w:t>
      </w:r>
    </w:p>
    <w:p w14:paraId="5EBAEF18">
      <w:pPr>
        <w:spacing w:after="0" w:line="400" w:lineRule="exact"/>
        <w:ind w:firstLine="420" w:firstLineChars="200"/>
        <w:contextualSpacing/>
        <w:rPr>
          <w:rFonts w:ascii="宋体" w:hAnsi="宋体" w:eastAsia="宋体"/>
          <w:color w:val="auto"/>
          <w:sz w:val="21"/>
          <w:szCs w:val="21"/>
          <w:highlight w:val="none"/>
        </w:rPr>
      </w:pPr>
      <w:r>
        <w:rPr>
          <w:rFonts w:ascii="宋体" w:hAnsi="宋体" w:eastAsia="宋体"/>
          <w:color w:val="auto"/>
          <w:sz w:val="21"/>
          <w:szCs w:val="21"/>
          <w:highlight w:val="none"/>
        </w:rPr>
        <w:t>6.2.</w:t>
      </w:r>
      <w:r>
        <w:rPr>
          <w:rFonts w:hint="eastAsia" w:ascii="宋体" w:hAnsi="宋体" w:eastAsia="宋体"/>
          <w:color w:val="auto"/>
          <w:sz w:val="21"/>
          <w:szCs w:val="21"/>
          <w:highlight w:val="none"/>
        </w:rPr>
        <w:t>1在合同签订生效后7日内，承包人向发包人提交合同总价的 5% 作为履约担保，形式为履约保证金或履约保函。承包人提供履约保证金的，须以银行转账方式缴纳，承包人按约定履行合同完毕后，发包人在15天内将履约保证金（无息）退还给承包人。承包人提供履约保函的，须是银行保函并参照附件1格式。</w:t>
      </w:r>
    </w:p>
    <w:p w14:paraId="3EA05E7B">
      <w:pPr>
        <w:widowControl w:val="0"/>
        <w:spacing w:after="0" w:line="400" w:lineRule="exact"/>
        <w:ind w:firstLine="409" w:firstLineChars="195"/>
        <w:rPr>
          <w:rFonts w:hint="eastAsia" w:ascii="宋体" w:hAnsi="宋体"/>
          <w:bCs/>
          <w:color w:val="auto"/>
          <w:sz w:val="21"/>
          <w:szCs w:val="21"/>
          <w:highlight w:val="none"/>
        </w:rPr>
      </w:pPr>
      <w:r>
        <w:rPr>
          <w:rFonts w:hint="eastAsia" w:ascii="宋体" w:hAnsi="宋体"/>
          <w:bCs/>
          <w:color w:val="auto"/>
          <w:sz w:val="21"/>
          <w:szCs w:val="21"/>
          <w:highlight w:val="none"/>
        </w:rPr>
        <w:t>6.2.2勘察人在合同约定的时间内将合同履行完毕后，甲方于勘察人提出申请之日起七个工作日内将勘察人交付的履约保证金全额退回乙方。</w:t>
      </w:r>
    </w:p>
    <w:p w14:paraId="57598927">
      <w:pPr>
        <w:widowControl w:val="0"/>
        <w:spacing w:after="0" w:line="400" w:lineRule="exact"/>
        <w:ind w:firstLine="409" w:firstLineChars="195"/>
        <w:rPr>
          <w:rFonts w:hint="eastAsia" w:ascii="宋体" w:hAnsi="宋体"/>
          <w:bCs/>
          <w:color w:val="auto"/>
          <w:sz w:val="21"/>
          <w:szCs w:val="21"/>
          <w:highlight w:val="none"/>
        </w:rPr>
      </w:pPr>
      <w:r>
        <w:rPr>
          <w:rFonts w:hint="eastAsia" w:ascii="宋体" w:hAnsi="宋体"/>
          <w:bCs/>
          <w:color w:val="auto"/>
          <w:sz w:val="21"/>
          <w:szCs w:val="21"/>
          <w:highlight w:val="none"/>
        </w:rPr>
        <w:t>6.2.3勘察人未能在合同约定的时间内将合同履行完毕，甲方不予退还勘察人交付的履约保证金。</w:t>
      </w:r>
    </w:p>
    <w:p w14:paraId="30DDE8E0">
      <w:pPr>
        <w:widowControl w:val="0"/>
        <w:spacing w:after="0" w:line="400" w:lineRule="exact"/>
        <w:rPr>
          <w:rFonts w:hint="eastAsia" w:ascii="宋体" w:hAnsi="宋体"/>
          <w:bCs/>
          <w:color w:val="auto"/>
          <w:sz w:val="21"/>
          <w:szCs w:val="21"/>
          <w:highlight w:val="none"/>
        </w:rPr>
      </w:pPr>
      <w:r>
        <w:rPr>
          <w:rFonts w:hint="eastAsia" w:ascii="宋体" w:hAnsi="宋体"/>
          <w:bCs/>
          <w:color w:val="auto"/>
          <w:sz w:val="21"/>
          <w:szCs w:val="21"/>
          <w:highlight w:val="none"/>
        </w:rPr>
        <w:t xml:space="preserve">    6.3  延误</w:t>
      </w:r>
    </w:p>
    <w:p w14:paraId="0753BBF1">
      <w:pPr>
        <w:widowControl w:val="0"/>
        <w:spacing w:after="0" w:line="400" w:lineRule="exact"/>
        <w:rPr>
          <w:rFonts w:hint="eastAsia" w:ascii="宋体" w:hAnsi="宋体"/>
          <w:bCs/>
          <w:color w:val="auto"/>
          <w:sz w:val="21"/>
          <w:szCs w:val="21"/>
          <w:highlight w:val="none"/>
        </w:rPr>
      </w:pPr>
      <w:r>
        <w:rPr>
          <w:rFonts w:hint="eastAsia" w:ascii="宋体" w:hAnsi="宋体"/>
          <w:bCs/>
          <w:color w:val="auto"/>
          <w:sz w:val="21"/>
          <w:szCs w:val="21"/>
          <w:highlight w:val="none"/>
        </w:rPr>
        <w:t xml:space="preserve">    由于业主或不可抗力等因素，导致服务增加和时间延续时，则：</w:t>
      </w:r>
    </w:p>
    <w:p w14:paraId="0F19D59E">
      <w:pPr>
        <w:widowControl w:val="0"/>
        <w:spacing w:after="0" w:line="400" w:lineRule="exact"/>
        <w:rPr>
          <w:rFonts w:hint="eastAsia" w:ascii="宋体" w:hAnsi="宋体"/>
          <w:bCs/>
          <w:color w:val="auto"/>
          <w:sz w:val="21"/>
          <w:szCs w:val="21"/>
          <w:highlight w:val="none"/>
        </w:rPr>
      </w:pPr>
      <w:r>
        <w:rPr>
          <w:rFonts w:hint="eastAsia" w:ascii="宋体" w:hAnsi="宋体"/>
          <w:bCs/>
          <w:color w:val="auto"/>
          <w:sz w:val="21"/>
          <w:szCs w:val="21"/>
          <w:highlight w:val="none"/>
        </w:rPr>
        <w:t xml:space="preserve">    6.3.1  勘察人应将此情况与可能产生的影响尽快通知业主，并采取合理措施使延误减至最低；</w:t>
      </w:r>
    </w:p>
    <w:p w14:paraId="72A9785C">
      <w:pPr>
        <w:widowControl w:val="0"/>
        <w:spacing w:after="0" w:line="400" w:lineRule="exact"/>
        <w:rPr>
          <w:rFonts w:hint="eastAsia" w:ascii="宋体" w:hAnsi="宋体"/>
          <w:bCs/>
          <w:color w:val="auto"/>
          <w:sz w:val="21"/>
          <w:szCs w:val="21"/>
          <w:highlight w:val="none"/>
        </w:rPr>
      </w:pPr>
      <w:r>
        <w:rPr>
          <w:rFonts w:hint="eastAsia" w:ascii="宋体" w:hAnsi="宋体"/>
          <w:bCs/>
          <w:color w:val="auto"/>
          <w:sz w:val="21"/>
          <w:szCs w:val="21"/>
          <w:highlight w:val="none"/>
        </w:rPr>
        <w:t xml:space="preserve">    6.3.2  勘察人应保持详细原始记录。</w:t>
      </w:r>
    </w:p>
    <w:p w14:paraId="2340E3CA">
      <w:pPr>
        <w:widowControl w:val="0"/>
        <w:spacing w:after="0" w:line="400" w:lineRule="exact"/>
        <w:rPr>
          <w:rFonts w:hint="eastAsia" w:ascii="宋体" w:hAnsi="宋体"/>
          <w:bCs/>
          <w:color w:val="auto"/>
          <w:sz w:val="21"/>
          <w:szCs w:val="21"/>
          <w:highlight w:val="none"/>
        </w:rPr>
      </w:pPr>
      <w:r>
        <w:rPr>
          <w:rFonts w:hint="eastAsia" w:ascii="宋体" w:hAnsi="宋体"/>
          <w:bCs/>
          <w:color w:val="auto"/>
          <w:sz w:val="21"/>
          <w:szCs w:val="21"/>
          <w:highlight w:val="none"/>
        </w:rPr>
        <w:t xml:space="preserve">    业主在与勘察人协商后应相应地延长勘察人的工作期限或增付费用。</w:t>
      </w:r>
    </w:p>
    <w:p w14:paraId="5ECB2C3B">
      <w:pPr>
        <w:widowControl w:val="0"/>
        <w:spacing w:after="0" w:line="400" w:lineRule="exact"/>
        <w:rPr>
          <w:rFonts w:hint="eastAsia" w:ascii="宋体" w:hAnsi="宋体"/>
          <w:bCs/>
          <w:color w:val="auto"/>
          <w:sz w:val="21"/>
          <w:szCs w:val="21"/>
          <w:highlight w:val="none"/>
        </w:rPr>
      </w:pPr>
      <w:r>
        <w:rPr>
          <w:rFonts w:hint="eastAsia" w:ascii="宋体" w:hAnsi="宋体"/>
          <w:bCs/>
          <w:color w:val="auto"/>
          <w:sz w:val="21"/>
          <w:szCs w:val="21"/>
          <w:highlight w:val="none"/>
        </w:rPr>
        <w:t xml:space="preserve">    6.3.3由于业主或不可抗力等因素，勘察人无法履行合同的，勘察人可以提出终止合同，并于28天前以书面形式通知业主，由此造成的损失，应由业主根据合同单价和勘察人实际完成的工作量予以赔偿。</w:t>
      </w:r>
    </w:p>
    <w:p w14:paraId="3453E285">
      <w:pPr>
        <w:widowControl w:val="0"/>
        <w:spacing w:after="0" w:line="400" w:lineRule="exact"/>
        <w:rPr>
          <w:rFonts w:hint="eastAsia" w:ascii="宋体" w:hAnsi="宋体"/>
          <w:bCs/>
          <w:color w:val="auto"/>
          <w:sz w:val="21"/>
          <w:szCs w:val="21"/>
          <w:highlight w:val="none"/>
        </w:rPr>
      </w:pPr>
      <w:r>
        <w:rPr>
          <w:rFonts w:hint="eastAsia" w:ascii="宋体" w:hAnsi="宋体"/>
          <w:bCs/>
          <w:color w:val="auto"/>
          <w:sz w:val="21"/>
          <w:szCs w:val="21"/>
          <w:highlight w:val="none"/>
        </w:rPr>
        <w:t xml:space="preserve">    6.4  变更</w:t>
      </w:r>
    </w:p>
    <w:p w14:paraId="07978B84">
      <w:pPr>
        <w:widowControl w:val="0"/>
        <w:spacing w:after="0" w:line="400" w:lineRule="exact"/>
        <w:rPr>
          <w:rFonts w:hint="eastAsia" w:ascii="宋体" w:hAnsi="宋体"/>
          <w:bCs/>
          <w:color w:val="auto"/>
          <w:sz w:val="21"/>
          <w:szCs w:val="21"/>
          <w:highlight w:val="none"/>
        </w:rPr>
      </w:pPr>
      <w:r>
        <w:rPr>
          <w:rFonts w:hint="eastAsia" w:ascii="宋体" w:hAnsi="宋体"/>
          <w:bCs/>
          <w:color w:val="auto"/>
          <w:sz w:val="21"/>
          <w:szCs w:val="21"/>
          <w:highlight w:val="none"/>
        </w:rPr>
        <w:t xml:space="preserve">    除合同另有规定外，勘察人应提交变更工程勘察文件，此类勘察文件的准备和提交应视为已含入施工配合服务费用中，业主不再另行支付费用。</w:t>
      </w:r>
    </w:p>
    <w:p w14:paraId="50E1EDB6">
      <w:pPr>
        <w:widowControl w:val="0"/>
        <w:spacing w:after="0" w:line="400" w:lineRule="exact"/>
        <w:rPr>
          <w:rFonts w:hint="eastAsia" w:ascii="宋体" w:hAnsi="宋体"/>
          <w:bCs/>
          <w:color w:val="auto"/>
          <w:sz w:val="21"/>
          <w:szCs w:val="21"/>
          <w:highlight w:val="none"/>
        </w:rPr>
      </w:pPr>
      <w:r>
        <w:rPr>
          <w:rFonts w:hint="eastAsia" w:ascii="宋体" w:hAnsi="宋体"/>
          <w:bCs/>
          <w:color w:val="auto"/>
          <w:sz w:val="21"/>
          <w:szCs w:val="21"/>
          <w:highlight w:val="none"/>
        </w:rPr>
        <w:t xml:space="preserve">    6.5  推迟与终止</w:t>
      </w:r>
    </w:p>
    <w:p w14:paraId="58525BDC">
      <w:pPr>
        <w:widowControl w:val="0"/>
        <w:spacing w:after="0" w:line="400" w:lineRule="exact"/>
        <w:rPr>
          <w:rFonts w:hint="eastAsia" w:ascii="宋体" w:hAnsi="宋体"/>
          <w:bCs/>
          <w:color w:val="auto"/>
          <w:sz w:val="21"/>
          <w:szCs w:val="21"/>
          <w:highlight w:val="none"/>
        </w:rPr>
      </w:pPr>
      <w:r>
        <w:rPr>
          <w:rFonts w:hint="eastAsia" w:ascii="宋体" w:hAnsi="宋体"/>
          <w:bCs/>
          <w:color w:val="auto"/>
          <w:sz w:val="21"/>
          <w:szCs w:val="21"/>
          <w:highlight w:val="none"/>
        </w:rPr>
        <w:t xml:space="preserve">    6.5.1 业主可以在至少28天以前以书面通知勘察人暂停全部或部分勘察工作或终止本合同书，一旦收到此类通知，勘察人应立即安排停止计划并将费用减到最小。</w:t>
      </w:r>
    </w:p>
    <w:p w14:paraId="4656A2D2">
      <w:pPr>
        <w:widowControl w:val="0"/>
        <w:spacing w:after="0" w:line="400" w:lineRule="exact"/>
        <w:rPr>
          <w:rFonts w:hint="eastAsia" w:ascii="宋体" w:hAnsi="宋体"/>
          <w:bCs/>
          <w:color w:val="auto"/>
          <w:sz w:val="21"/>
          <w:szCs w:val="21"/>
          <w:highlight w:val="none"/>
        </w:rPr>
      </w:pPr>
      <w:r>
        <w:rPr>
          <w:rFonts w:hint="eastAsia" w:ascii="宋体" w:hAnsi="宋体"/>
          <w:bCs/>
          <w:color w:val="auto"/>
          <w:sz w:val="21"/>
          <w:szCs w:val="21"/>
          <w:highlight w:val="none"/>
        </w:rPr>
        <w:t xml:space="preserve">    6.5.2 业主认为勘察人无正当理由而末履行本合同规定的责任与义务时，应书面通知勘察人，并说明理由。若业主在21天内没有收到满意的答复，业主可以发出进一步的通知终止本合同，但此进一步的通知必须在第一个通知发出28天后发出。</w:t>
      </w:r>
    </w:p>
    <w:p w14:paraId="6340B2B2">
      <w:pPr>
        <w:widowControl w:val="0"/>
        <w:spacing w:after="0" w:line="400" w:lineRule="exact"/>
        <w:rPr>
          <w:rFonts w:hint="eastAsia" w:ascii="宋体" w:hAnsi="宋体"/>
          <w:bCs/>
          <w:color w:val="auto"/>
          <w:sz w:val="21"/>
          <w:szCs w:val="21"/>
          <w:highlight w:val="none"/>
        </w:rPr>
      </w:pPr>
      <w:r>
        <w:rPr>
          <w:rFonts w:hint="eastAsia" w:ascii="宋体" w:hAnsi="宋体"/>
          <w:bCs/>
          <w:color w:val="auto"/>
          <w:sz w:val="21"/>
          <w:szCs w:val="21"/>
          <w:highlight w:val="none"/>
        </w:rPr>
        <w:t xml:space="preserve">    6.6  合同终止不影响权利和责任</w:t>
      </w:r>
    </w:p>
    <w:p w14:paraId="1406E980">
      <w:pPr>
        <w:pStyle w:val="15"/>
        <w:spacing w:after="0" w:line="400" w:lineRule="exact"/>
        <w:ind w:left="0" w:leftChars="0"/>
        <w:rPr>
          <w:rFonts w:hint="eastAsia" w:ascii="宋体" w:hAnsi="宋体"/>
          <w:bCs/>
          <w:color w:val="auto"/>
          <w:szCs w:val="21"/>
          <w:highlight w:val="none"/>
        </w:rPr>
      </w:pPr>
      <w:r>
        <w:rPr>
          <w:rFonts w:hint="eastAsia" w:ascii="宋体" w:hAnsi="宋体"/>
          <w:bCs/>
          <w:color w:val="auto"/>
          <w:szCs w:val="21"/>
          <w:highlight w:val="none"/>
        </w:rPr>
        <w:t>不论何种原因，本合同的终止，不应损害和影响各方应有的权利、索赔要求和应负的责任。</w:t>
      </w:r>
    </w:p>
    <w:p w14:paraId="61003133">
      <w:pPr>
        <w:widowControl w:val="0"/>
        <w:spacing w:after="0" w:line="400" w:lineRule="exact"/>
        <w:rPr>
          <w:rFonts w:hint="eastAsia" w:ascii="宋体" w:hAnsi="宋体"/>
          <w:b/>
          <w:bCs/>
          <w:color w:val="auto"/>
          <w:sz w:val="21"/>
          <w:szCs w:val="21"/>
          <w:highlight w:val="none"/>
        </w:rPr>
      </w:pPr>
      <w:r>
        <w:rPr>
          <w:rFonts w:hint="eastAsia" w:ascii="宋体" w:hAnsi="宋体"/>
          <w:b/>
          <w:bCs/>
          <w:color w:val="auto"/>
          <w:sz w:val="21"/>
          <w:szCs w:val="21"/>
          <w:highlight w:val="none"/>
        </w:rPr>
        <w:t>7.费用与支付</w:t>
      </w:r>
    </w:p>
    <w:p w14:paraId="033DF4F6">
      <w:pPr>
        <w:widowControl w:val="0"/>
        <w:spacing w:after="0" w:line="400" w:lineRule="exact"/>
        <w:rPr>
          <w:rFonts w:hint="eastAsia" w:ascii="宋体" w:hAnsi="宋体"/>
          <w:bCs/>
          <w:color w:val="auto"/>
          <w:sz w:val="21"/>
          <w:szCs w:val="21"/>
          <w:highlight w:val="none"/>
        </w:rPr>
      </w:pPr>
      <w:r>
        <w:rPr>
          <w:rFonts w:hint="eastAsia" w:ascii="宋体" w:hAnsi="宋体"/>
          <w:bCs/>
          <w:color w:val="auto"/>
          <w:sz w:val="21"/>
          <w:szCs w:val="21"/>
          <w:highlight w:val="none"/>
        </w:rPr>
        <w:t xml:space="preserve">    7.1  勘察费用</w:t>
      </w:r>
    </w:p>
    <w:p w14:paraId="74E5775C">
      <w:pPr>
        <w:widowControl w:val="0"/>
        <w:spacing w:after="0" w:line="400" w:lineRule="exact"/>
        <w:rPr>
          <w:rFonts w:hint="eastAsia" w:ascii="宋体" w:hAnsi="宋体"/>
          <w:bCs/>
          <w:color w:val="auto"/>
          <w:sz w:val="21"/>
          <w:szCs w:val="21"/>
          <w:highlight w:val="none"/>
        </w:rPr>
      </w:pPr>
      <w:r>
        <w:rPr>
          <w:rFonts w:hint="eastAsia" w:ascii="宋体" w:hAnsi="宋体"/>
          <w:bCs/>
          <w:color w:val="auto"/>
          <w:sz w:val="21"/>
          <w:szCs w:val="21"/>
          <w:highlight w:val="none"/>
        </w:rPr>
        <w:t xml:space="preserve">    业主应按合同条款的有关规定，按时向勘察人支付勘察费用，以及勘察人额外服务的费用。</w:t>
      </w:r>
    </w:p>
    <w:p w14:paraId="3B646CA1">
      <w:pPr>
        <w:widowControl w:val="0"/>
        <w:spacing w:after="0" w:line="400" w:lineRule="exact"/>
        <w:ind w:firstLine="480"/>
        <w:rPr>
          <w:rFonts w:hint="eastAsia" w:ascii="宋体" w:hAnsi="宋体"/>
          <w:bCs/>
          <w:color w:val="auto"/>
          <w:sz w:val="21"/>
          <w:szCs w:val="21"/>
          <w:highlight w:val="none"/>
        </w:rPr>
      </w:pPr>
      <w:r>
        <w:rPr>
          <w:rFonts w:hint="eastAsia" w:ascii="宋体" w:hAnsi="宋体"/>
          <w:bCs/>
          <w:color w:val="auto"/>
          <w:sz w:val="21"/>
          <w:szCs w:val="21"/>
          <w:highlight w:val="none"/>
        </w:rPr>
        <w:t>7.2  支付时间</w:t>
      </w:r>
    </w:p>
    <w:p w14:paraId="57006161">
      <w:pPr>
        <w:widowControl w:val="0"/>
        <w:spacing w:after="0" w:line="400" w:lineRule="exact"/>
        <w:ind w:firstLine="480"/>
        <w:rPr>
          <w:rFonts w:hint="eastAsia" w:ascii="宋体" w:hAnsi="宋体"/>
          <w:bCs/>
          <w:color w:val="auto"/>
          <w:sz w:val="21"/>
          <w:szCs w:val="21"/>
          <w:highlight w:val="none"/>
        </w:rPr>
      </w:pPr>
      <w:r>
        <w:rPr>
          <w:rFonts w:hint="eastAsia" w:ascii="宋体" w:hAnsi="宋体"/>
          <w:bCs/>
          <w:color w:val="auto"/>
          <w:sz w:val="21"/>
          <w:szCs w:val="21"/>
          <w:highlight w:val="none"/>
        </w:rPr>
        <w:t>业主应按合同书规定的时间支付勘察费用。勘察人应在每一阶段工作完成后的28日内提出付款申请，业主审查没有异议后，应在收到申请后28日内支付。如在规定的时间内勘察人没有收到付款时（银行间转帐延误除外），则业主应按合同专用条款的规定向勘察人支付滞纳金且勘察人获得等期工期延迟权利。</w:t>
      </w:r>
    </w:p>
    <w:p w14:paraId="1DBC2429">
      <w:pPr>
        <w:widowControl w:val="0"/>
        <w:spacing w:after="0" w:line="400" w:lineRule="exact"/>
        <w:rPr>
          <w:rFonts w:hint="eastAsia" w:ascii="宋体" w:hAnsi="宋体"/>
          <w:bCs/>
          <w:color w:val="auto"/>
          <w:sz w:val="21"/>
          <w:szCs w:val="21"/>
          <w:highlight w:val="none"/>
        </w:rPr>
      </w:pPr>
      <w:r>
        <w:rPr>
          <w:rFonts w:hint="eastAsia" w:ascii="宋体" w:hAnsi="宋体"/>
          <w:bCs/>
          <w:color w:val="auto"/>
          <w:sz w:val="21"/>
          <w:szCs w:val="21"/>
          <w:highlight w:val="none"/>
        </w:rPr>
        <w:t xml:space="preserve">    7.3  有异议的支付</w:t>
      </w:r>
    </w:p>
    <w:p w14:paraId="1828ED14">
      <w:pPr>
        <w:widowControl w:val="0"/>
        <w:spacing w:after="0" w:line="400" w:lineRule="exact"/>
        <w:rPr>
          <w:rFonts w:hint="eastAsia" w:ascii="宋体" w:hAnsi="宋体"/>
          <w:bCs/>
          <w:color w:val="auto"/>
          <w:sz w:val="21"/>
          <w:szCs w:val="21"/>
          <w:highlight w:val="none"/>
        </w:rPr>
      </w:pPr>
      <w:r>
        <w:rPr>
          <w:rFonts w:hint="eastAsia" w:ascii="宋体" w:hAnsi="宋体"/>
          <w:bCs/>
          <w:color w:val="auto"/>
          <w:sz w:val="21"/>
          <w:szCs w:val="21"/>
          <w:highlight w:val="none"/>
        </w:rPr>
        <w:t xml:space="preserve">    如果业主对勘察人提交的付款申请有异议时，业主应在15个工作日内发出书面通知要求勘察人澄清，此时，应在收到勘察人书面澄清(以业主签收的日期为准)之日起30天内支付。如果勘察人在收到业主要求书面澄清的通知后15个工作日内(以勘察人收到通知的日期为准)未做任何书面答复，则业主不予支付，直到勘察人作出书面澄清为止。</w:t>
      </w:r>
    </w:p>
    <w:p w14:paraId="72FCE2A3">
      <w:pPr>
        <w:widowControl w:val="0"/>
        <w:spacing w:after="0" w:line="400" w:lineRule="exact"/>
        <w:rPr>
          <w:rFonts w:hint="eastAsia" w:ascii="宋体" w:hAnsi="宋体"/>
          <w:bCs/>
          <w:color w:val="auto"/>
          <w:sz w:val="21"/>
          <w:szCs w:val="21"/>
          <w:highlight w:val="none"/>
        </w:rPr>
      </w:pPr>
      <w:r>
        <w:rPr>
          <w:rFonts w:hint="eastAsia" w:ascii="宋体" w:hAnsi="宋体"/>
          <w:bCs/>
          <w:color w:val="auto"/>
          <w:sz w:val="21"/>
          <w:szCs w:val="21"/>
          <w:highlight w:val="none"/>
        </w:rPr>
        <w:t xml:space="preserve">    7.4  审查</w:t>
      </w:r>
    </w:p>
    <w:p w14:paraId="3DE2E7E1">
      <w:pPr>
        <w:widowControl w:val="0"/>
        <w:spacing w:after="0" w:line="400" w:lineRule="exact"/>
        <w:rPr>
          <w:rFonts w:hint="eastAsia" w:ascii="宋体" w:hAnsi="宋体"/>
          <w:bCs/>
          <w:color w:val="auto"/>
          <w:sz w:val="21"/>
          <w:szCs w:val="21"/>
          <w:highlight w:val="none"/>
        </w:rPr>
      </w:pPr>
      <w:r>
        <w:rPr>
          <w:rFonts w:hint="eastAsia" w:ascii="宋体" w:hAnsi="宋体"/>
          <w:bCs/>
          <w:color w:val="auto"/>
          <w:sz w:val="21"/>
          <w:szCs w:val="21"/>
          <w:highlight w:val="none"/>
        </w:rPr>
        <w:t xml:space="preserve">    勘察人应保存能清楚证明有关勘察工作时间和支付费用的记录，并在业主有要求时允许业主指派的人员进行审查。</w:t>
      </w:r>
    </w:p>
    <w:p w14:paraId="7325BAF9">
      <w:pPr>
        <w:widowControl w:val="0"/>
        <w:spacing w:after="0" w:line="400" w:lineRule="exact"/>
        <w:rPr>
          <w:rFonts w:hint="eastAsia" w:ascii="宋体" w:hAnsi="宋体"/>
          <w:bCs/>
          <w:color w:val="auto"/>
          <w:sz w:val="21"/>
          <w:szCs w:val="21"/>
          <w:highlight w:val="none"/>
        </w:rPr>
      </w:pPr>
      <w:r>
        <w:rPr>
          <w:rFonts w:hint="eastAsia" w:ascii="宋体" w:hAnsi="宋体"/>
          <w:bCs/>
          <w:color w:val="auto"/>
          <w:sz w:val="21"/>
          <w:szCs w:val="21"/>
          <w:highlight w:val="none"/>
        </w:rPr>
        <w:t xml:space="preserve">    7.5  暂定金额</w:t>
      </w:r>
    </w:p>
    <w:p w14:paraId="04BD5540">
      <w:pPr>
        <w:widowControl w:val="0"/>
        <w:spacing w:after="0" w:line="400" w:lineRule="exact"/>
        <w:rPr>
          <w:rFonts w:hint="eastAsia" w:ascii="宋体" w:hAnsi="宋体"/>
          <w:bCs/>
          <w:color w:val="auto"/>
          <w:sz w:val="21"/>
          <w:szCs w:val="21"/>
          <w:highlight w:val="none"/>
        </w:rPr>
      </w:pPr>
      <w:r>
        <w:rPr>
          <w:rFonts w:hint="eastAsia" w:ascii="宋体" w:hAnsi="宋体"/>
          <w:bCs/>
          <w:color w:val="auto"/>
          <w:sz w:val="21"/>
          <w:szCs w:val="21"/>
          <w:highlight w:val="none"/>
        </w:rPr>
        <w:t xml:space="preserve">    本合同的暂定金额为工程勘察费的5%。这项金额应按业主的书面指示全部或部分地使用，或根本不予动用。</w:t>
      </w:r>
    </w:p>
    <w:p w14:paraId="58920521">
      <w:pPr>
        <w:widowControl w:val="0"/>
        <w:spacing w:after="0" w:line="400" w:lineRule="exact"/>
        <w:rPr>
          <w:rFonts w:hint="eastAsia" w:ascii="宋体" w:hAnsi="宋体"/>
          <w:bCs/>
          <w:color w:val="auto"/>
          <w:sz w:val="21"/>
          <w:szCs w:val="21"/>
          <w:highlight w:val="none"/>
        </w:rPr>
      </w:pPr>
      <w:r>
        <w:rPr>
          <w:rFonts w:hint="eastAsia" w:ascii="宋体" w:hAnsi="宋体"/>
          <w:bCs/>
          <w:color w:val="auto"/>
          <w:sz w:val="21"/>
          <w:szCs w:val="21"/>
          <w:highlight w:val="none"/>
        </w:rPr>
        <w:t xml:space="preserve">    如果使用暂定金额进行某项额外勘察工作，其费用应按勘察人投标报价或收费标准中相应项目的基本单价和实际发生的工作量经业主核定后支付。</w:t>
      </w:r>
    </w:p>
    <w:p w14:paraId="39D41470">
      <w:pPr>
        <w:widowControl w:val="0"/>
        <w:spacing w:after="0" w:line="400" w:lineRule="exact"/>
        <w:rPr>
          <w:rFonts w:hint="eastAsia" w:ascii="宋体" w:hAnsi="宋体"/>
          <w:bCs/>
          <w:color w:val="auto"/>
          <w:sz w:val="21"/>
          <w:szCs w:val="21"/>
          <w:highlight w:val="none"/>
        </w:rPr>
      </w:pPr>
      <w:r>
        <w:rPr>
          <w:rFonts w:hint="eastAsia" w:ascii="宋体" w:hAnsi="宋体"/>
          <w:bCs/>
          <w:color w:val="auto"/>
          <w:sz w:val="21"/>
          <w:szCs w:val="21"/>
          <w:highlight w:val="none"/>
        </w:rPr>
        <w:t xml:space="preserve">    7.6  勘察费用的调整</w:t>
      </w:r>
    </w:p>
    <w:p w14:paraId="78B77607">
      <w:pPr>
        <w:widowControl w:val="0"/>
        <w:spacing w:after="0" w:line="400" w:lineRule="exact"/>
        <w:rPr>
          <w:rFonts w:hint="eastAsia" w:ascii="宋体" w:hAnsi="宋体"/>
          <w:bCs/>
          <w:color w:val="auto"/>
          <w:sz w:val="21"/>
          <w:szCs w:val="21"/>
          <w:highlight w:val="none"/>
        </w:rPr>
      </w:pPr>
      <w:r>
        <w:rPr>
          <w:rFonts w:hint="eastAsia" w:ascii="宋体" w:hAnsi="宋体"/>
          <w:bCs/>
          <w:color w:val="auto"/>
          <w:sz w:val="21"/>
          <w:szCs w:val="21"/>
          <w:highlight w:val="none"/>
        </w:rPr>
        <w:t xml:space="preserve">    在合同实施期间，若由于国家颁布了新的政策、法规、标准导致勘察费用的变化，则应根据合同专用条款的规定进行相应调整。</w:t>
      </w:r>
    </w:p>
    <w:p w14:paraId="738E3E81">
      <w:pPr>
        <w:widowControl w:val="0"/>
        <w:spacing w:after="0" w:line="400" w:lineRule="exact"/>
        <w:rPr>
          <w:rFonts w:hint="eastAsia" w:ascii="宋体" w:hAnsi="宋体"/>
          <w:bCs/>
          <w:color w:val="auto"/>
          <w:sz w:val="21"/>
          <w:szCs w:val="21"/>
          <w:highlight w:val="none"/>
        </w:rPr>
      </w:pPr>
      <w:r>
        <w:rPr>
          <w:rFonts w:hint="eastAsia" w:ascii="宋体" w:hAnsi="宋体"/>
          <w:bCs/>
          <w:color w:val="auto"/>
          <w:sz w:val="21"/>
          <w:szCs w:val="21"/>
          <w:highlight w:val="none"/>
        </w:rPr>
        <w:t xml:space="preserve">    7.7  质量保证金</w:t>
      </w:r>
    </w:p>
    <w:p w14:paraId="68D89DEA">
      <w:pPr>
        <w:widowControl w:val="0"/>
        <w:spacing w:after="0" w:line="400" w:lineRule="exact"/>
        <w:ind w:firstLine="480"/>
        <w:rPr>
          <w:rFonts w:hint="eastAsia" w:ascii="宋体" w:hAnsi="宋体"/>
          <w:bCs/>
          <w:color w:val="auto"/>
          <w:sz w:val="21"/>
          <w:szCs w:val="21"/>
          <w:highlight w:val="none"/>
        </w:rPr>
      </w:pPr>
      <w:r>
        <w:rPr>
          <w:rFonts w:hint="eastAsia" w:ascii="宋体" w:hAnsi="宋体"/>
          <w:bCs/>
          <w:color w:val="auto"/>
          <w:sz w:val="21"/>
          <w:szCs w:val="21"/>
          <w:highlight w:val="none"/>
        </w:rPr>
        <w:t>为保证勘察人的勘察成果质量和勘察服务，按勘察费用总额的30％作为本项目的质保金，待勘察服务完成后28天内支付。</w:t>
      </w:r>
    </w:p>
    <w:p w14:paraId="5008C340">
      <w:pPr>
        <w:widowControl w:val="0"/>
        <w:spacing w:after="0" w:line="400" w:lineRule="exact"/>
        <w:rPr>
          <w:rFonts w:hint="eastAsia" w:ascii="宋体" w:hAnsi="宋体"/>
          <w:b/>
          <w:bCs/>
          <w:color w:val="auto"/>
          <w:sz w:val="21"/>
          <w:szCs w:val="21"/>
          <w:highlight w:val="none"/>
        </w:rPr>
      </w:pPr>
      <w:r>
        <w:rPr>
          <w:rFonts w:hint="eastAsia" w:ascii="宋体" w:hAnsi="宋体"/>
          <w:b/>
          <w:bCs/>
          <w:color w:val="auto"/>
          <w:sz w:val="21"/>
          <w:szCs w:val="21"/>
          <w:highlight w:val="none"/>
        </w:rPr>
        <w:t>8.其  它</w:t>
      </w:r>
    </w:p>
    <w:p w14:paraId="716421C3">
      <w:pPr>
        <w:widowControl w:val="0"/>
        <w:spacing w:after="0" w:line="400" w:lineRule="exact"/>
        <w:rPr>
          <w:rFonts w:hint="eastAsia" w:ascii="宋体" w:hAnsi="宋体"/>
          <w:bCs/>
          <w:color w:val="auto"/>
          <w:sz w:val="21"/>
          <w:szCs w:val="21"/>
          <w:highlight w:val="none"/>
        </w:rPr>
      </w:pPr>
      <w:r>
        <w:rPr>
          <w:rFonts w:hint="eastAsia" w:ascii="宋体" w:hAnsi="宋体"/>
          <w:bCs/>
          <w:color w:val="auto"/>
          <w:sz w:val="21"/>
          <w:szCs w:val="21"/>
          <w:highlight w:val="none"/>
        </w:rPr>
        <w:t xml:space="preserve">    8.1  法律和法规</w:t>
      </w:r>
    </w:p>
    <w:p w14:paraId="54DC8445">
      <w:pPr>
        <w:widowControl w:val="0"/>
        <w:spacing w:after="0" w:line="400" w:lineRule="exact"/>
        <w:rPr>
          <w:rFonts w:hint="eastAsia" w:ascii="宋体" w:hAnsi="宋体"/>
          <w:bCs/>
          <w:color w:val="auto"/>
          <w:sz w:val="21"/>
          <w:szCs w:val="21"/>
          <w:highlight w:val="none"/>
        </w:rPr>
      </w:pPr>
      <w:r>
        <w:rPr>
          <w:rFonts w:hint="eastAsia" w:ascii="宋体" w:hAnsi="宋体"/>
          <w:bCs/>
          <w:color w:val="auto"/>
          <w:sz w:val="21"/>
          <w:szCs w:val="21"/>
          <w:highlight w:val="none"/>
        </w:rPr>
        <w:t xml:space="preserve">    本合同必须服从国家现行法律和法规，对合同的解释应以国家现行法律和法规为准。</w:t>
      </w:r>
    </w:p>
    <w:p w14:paraId="0A43EDD6">
      <w:pPr>
        <w:widowControl w:val="0"/>
        <w:spacing w:after="0" w:line="400" w:lineRule="exact"/>
        <w:rPr>
          <w:rFonts w:hint="eastAsia" w:ascii="宋体" w:hAnsi="宋体"/>
          <w:bCs/>
          <w:color w:val="auto"/>
          <w:sz w:val="21"/>
          <w:szCs w:val="21"/>
          <w:highlight w:val="none"/>
        </w:rPr>
      </w:pPr>
      <w:r>
        <w:rPr>
          <w:rFonts w:hint="eastAsia" w:ascii="宋体" w:hAnsi="宋体"/>
          <w:bCs/>
          <w:color w:val="auto"/>
          <w:sz w:val="21"/>
          <w:szCs w:val="21"/>
          <w:highlight w:val="none"/>
        </w:rPr>
        <w:t xml:space="preserve">    8.2  转包和分包</w:t>
      </w:r>
    </w:p>
    <w:p w14:paraId="65E45806">
      <w:pPr>
        <w:widowControl w:val="0"/>
        <w:spacing w:after="0" w:line="400" w:lineRule="exact"/>
        <w:rPr>
          <w:rFonts w:hint="eastAsia" w:ascii="宋体" w:hAnsi="宋体"/>
          <w:bCs/>
          <w:color w:val="auto"/>
          <w:sz w:val="21"/>
          <w:szCs w:val="21"/>
          <w:highlight w:val="none"/>
        </w:rPr>
      </w:pPr>
      <w:r>
        <w:rPr>
          <w:rFonts w:hint="eastAsia" w:ascii="宋体" w:hAnsi="宋体"/>
          <w:bCs/>
          <w:color w:val="auto"/>
          <w:sz w:val="21"/>
          <w:szCs w:val="21"/>
          <w:highlight w:val="none"/>
        </w:rPr>
        <w:t xml:space="preserve">    8.2.1禁止勘察人将本合同规定的勘察任务转包。</w:t>
      </w:r>
    </w:p>
    <w:p w14:paraId="3D26DC05">
      <w:pPr>
        <w:widowControl w:val="0"/>
        <w:spacing w:after="0" w:line="400" w:lineRule="exact"/>
        <w:ind w:firstLine="420" w:firstLineChars="200"/>
        <w:rPr>
          <w:rFonts w:hint="eastAsia" w:ascii="宋体" w:hAnsi="宋体"/>
          <w:bCs/>
          <w:color w:val="auto"/>
          <w:sz w:val="21"/>
          <w:szCs w:val="21"/>
          <w:highlight w:val="none"/>
        </w:rPr>
      </w:pPr>
      <w:r>
        <w:rPr>
          <w:rFonts w:hint="eastAsia" w:ascii="宋体" w:hAnsi="宋体"/>
          <w:bCs/>
          <w:color w:val="auto"/>
          <w:sz w:val="21"/>
          <w:szCs w:val="21"/>
          <w:highlight w:val="none"/>
        </w:rPr>
        <w:t>8.2.2没有业主的书面同意，勘察人不能将勘察工作的任何部分分包。即使得到了业主的同意，也不应解除勘察人根据合同规定应承担的全部责任和义务，勘察人应对其分包人的工作负全部责任包括违反国家现行法律和法规应承担的责任。</w:t>
      </w:r>
    </w:p>
    <w:p w14:paraId="58BD100B">
      <w:pPr>
        <w:widowControl w:val="0"/>
        <w:spacing w:after="0" w:line="400" w:lineRule="exact"/>
        <w:ind w:firstLine="420" w:firstLineChars="200"/>
        <w:rPr>
          <w:rFonts w:hint="eastAsia" w:ascii="宋体" w:hAnsi="宋体"/>
          <w:bCs/>
          <w:color w:val="auto"/>
          <w:sz w:val="21"/>
          <w:szCs w:val="21"/>
          <w:highlight w:val="none"/>
        </w:rPr>
      </w:pPr>
      <w:r>
        <w:rPr>
          <w:rFonts w:hint="eastAsia" w:ascii="宋体" w:hAnsi="宋体"/>
          <w:bCs/>
          <w:color w:val="auto"/>
          <w:sz w:val="21"/>
          <w:szCs w:val="21"/>
          <w:highlight w:val="none"/>
        </w:rPr>
        <w:t>8.2.3 只取得工程勘察资质的企业，应将现场钻探业务分包给具有工程勘察劳务类相应资质的企业，不得自行从事现场钻探业务。</w:t>
      </w:r>
    </w:p>
    <w:p w14:paraId="2C4FE221">
      <w:pPr>
        <w:widowControl w:val="0"/>
        <w:spacing w:after="0" w:line="400" w:lineRule="exact"/>
        <w:rPr>
          <w:rFonts w:hint="eastAsia" w:ascii="宋体" w:hAnsi="宋体"/>
          <w:bCs/>
          <w:color w:val="auto"/>
          <w:sz w:val="21"/>
          <w:szCs w:val="21"/>
          <w:highlight w:val="none"/>
        </w:rPr>
      </w:pPr>
      <w:r>
        <w:rPr>
          <w:rFonts w:hint="eastAsia" w:ascii="宋体" w:hAnsi="宋体"/>
          <w:bCs/>
          <w:color w:val="auto"/>
          <w:sz w:val="21"/>
          <w:szCs w:val="21"/>
          <w:highlight w:val="none"/>
        </w:rPr>
        <w:t xml:space="preserve">    8.3  版权</w:t>
      </w:r>
    </w:p>
    <w:p w14:paraId="1FF59D15">
      <w:pPr>
        <w:widowControl w:val="0"/>
        <w:spacing w:after="0" w:line="400" w:lineRule="exact"/>
        <w:rPr>
          <w:rFonts w:hint="eastAsia" w:ascii="宋体" w:hAnsi="宋体"/>
          <w:bCs/>
          <w:color w:val="auto"/>
          <w:sz w:val="21"/>
          <w:szCs w:val="21"/>
          <w:highlight w:val="none"/>
        </w:rPr>
      </w:pPr>
      <w:r>
        <w:rPr>
          <w:rFonts w:hint="eastAsia" w:ascii="宋体" w:hAnsi="宋体"/>
          <w:bCs/>
          <w:color w:val="auto"/>
          <w:sz w:val="21"/>
          <w:szCs w:val="21"/>
          <w:highlight w:val="none"/>
        </w:rPr>
        <w:t xml:space="preserve">    勘察人拥有其勘察文件的版权。业主具有使用权并有权为本工程之目的使用或复制此类文件，事先不需要取得勘察人的许可。业主对所提供的资料及本工程的科研成果拥有版权，未经业主许可，勘察人不得复制或出版。</w:t>
      </w:r>
    </w:p>
    <w:p w14:paraId="18E446C9">
      <w:pPr>
        <w:widowControl w:val="0"/>
        <w:spacing w:after="0" w:line="400" w:lineRule="exact"/>
        <w:rPr>
          <w:rFonts w:hint="eastAsia" w:ascii="宋体" w:hAnsi="宋体"/>
          <w:bCs/>
          <w:color w:val="auto"/>
          <w:sz w:val="21"/>
          <w:szCs w:val="21"/>
          <w:highlight w:val="none"/>
        </w:rPr>
      </w:pPr>
      <w:r>
        <w:rPr>
          <w:rFonts w:hint="eastAsia" w:ascii="宋体" w:hAnsi="宋体"/>
          <w:bCs/>
          <w:color w:val="auto"/>
          <w:sz w:val="21"/>
          <w:szCs w:val="21"/>
          <w:highlight w:val="none"/>
        </w:rPr>
        <w:t xml:space="preserve">    8.4  利益的冲突</w:t>
      </w:r>
    </w:p>
    <w:p w14:paraId="45340118">
      <w:pPr>
        <w:widowControl w:val="0"/>
        <w:spacing w:after="0" w:line="400" w:lineRule="exact"/>
        <w:rPr>
          <w:rFonts w:hint="eastAsia" w:ascii="宋体" w:hAnsi="宋体"/>
          <w:bCs/>
          <w:color w:val="auto"/>
          <w:sz w:val="21"/>
          <w:szCs w:val="21"/>
          <w:highlight w:val="none"/>
        </w:rPr>
      </w:pPr>
      <w:r>
        <w:rPr>
          <w:rFonts w:hint="eastAsia" w:ascii="宋体" w:hAnsi="宋体"/>
          <w:bCs/>
          <w:color w:val="auto"/>
          <w:sz w:val="21"/>
          <w:szCs w:val="21"/>
          <w:highlight w:val="none"/>
        </w:rPr>
        <w:t xml:space="preserve">    除合同另有规定外，勘察人及其雇员不应接受本合同规定以外的与本工程有关的利益和报酬；勘察人不得参与业主的利益有冲突的任何活动。</w:t>
      </w:r>
    </w:p>
    <w:p w14:paraId="3826D785">
      <w:pPr>
        <w:widowControl w:val="0"/>
        <w:spacing w:after="0" w:line="400" w:lineRule="exact"/>
        <w:rPr>
          <w:rFonts w:hint="eastAsia" w:ascii="宋体" w:hAnsi="宋体"/>
          <w:bCs/>
          <w:color w:val="auto"/>
          <w:sz w:val="21"/>
          <w:szCs w:val="21"/>
          <w:highlight w:val="none"/>
        </w:rPr>
      </w:pPr>
      <w:r>
        <w:rPr>
          <w:rFonts w:hint="eastAsia" w:ascii="宋体" w:hAnsi="宋体"/>
          <w:bCs/>
          <w:color w:val="auto"/>
          <w:sz w:val="21"/>
          <w:szCs w:val="21"/>
          <w:highlight w:val="none"/>
        </w:rPr>
        <w:t xml:space="preserve">    8.5  争端的解决</w:t>
      </w:r>
    </w:p>
    <w:p w14:paraId="5C72CAF3">
      <w:pPr>
        <w:widowControl w:val="0"/>
        <w:spacing w:after="0" w:line="400" w:lineRule="exact"/>
        <w:rPr>
          <w:rFonts w:hint="eastAsia" w:ascii="FangSong_GB2312" w:eastAsia="FangSong_GB2312"/>
          <w:bCs/>
          <w:color w:val="auto"/>
          <w:sz w:val="21"/>
          <w:szCs w:val="21"/>
          <w:highlight w:val="none"/>
        </w:rPr>
      </w:pPr>
      <w:r>
        <w:rPr>
          <w:rFonts w:hint="eastAsia" w:ascii="宋体" w:hAnsi="宋体"/>
          <w:bCs/>
          <w:color w:val="auto"/>
          <w:sz w:val="21"/>
          <w:szCs w:val="21"/>
          <w:highlight w:val="none"/>
        </w:rPr>
        <w:t xml:space="preserve">    本合同在执行过程中，如发生任何争端、纠纷或因违反、终止本合同而引起的对损失损害的任何赔偿，应事先协商，在勘察人和业主之间达成一致意见。如未能达成一致，可提交合同专用条款中规定的仲裁委员会仲裁。仲裁决定具有最终法律效力，其仲裁费用由败诉方承担，或按裁决由双方按比例分担。</w:t>
      </w:r>
    </w:p>
    <w:p w14:paraId="5241FB4F">
      <w:pPr>
        <w:widowControl w:val="0"/>
        <w:spacing w:after="0" w:line="400" w:lineRule="exact"/>
        <w:rPr>
          <w:rFonts w:hint="eastAsia" w:ascii="FangSong_GB2312" w:hAnsi="宋体" w:eastAsia="FangSong_GB2312"/>
          <w:color w:val="auto"/>
          <w:sz w:val="21"/>
          <w:szCs w:val="21"/>
          <w:highlight w:val="none"/>
        </w:rPr>
      </w:pPr>
      <w:r>
        <w:rPr>
          <w:rFonts w:hint="eastAsia" w:ascii="FangSong_GB2312" w:hAnsi="宋体" w:eastAsia="FangSong_GB2312"/>
          <w:color w:val="auto"/>
          <w:sz w:val="21"/>
          <w:szCs w:val="21"/>
          <w:highlight w:val="none"/>
        </w:rPr>
        <w:t xml:space="preserve">    </w:t>
      </w:r>
    </w:p>
    <w:p w14:paraId="14A8AA3A">
      <w:pPr>
        <w:pStyle w:val="14"/>
        <w:spacing w:line="400" w:lineRule="exact"/>
        <w:jc w:val="center"/>
        <w:rPr>
          <w:rFonts w:ascii="FangSong_GB2312" w:hAnsi="宋体" w:eastAsia="FangSong_GB2312"/>
          <w:b/>
          <w:bCs/>
          <w:color w:val="auto"/>
          <w:sz w:val="21"/>
          <w:szCs w:val="21"/>
          <w:highlight w:val="none"/>
        </w:rPr>
      </w:pPr>
    </w:p>
    <w:p w14:paraId="3169D7DC">
      <w:pPr>
        <w:pStyle w:val="14"/>
        <w:spacing w:line="400" w:lineRule="exact"/>
        <w:jc w:val="both"/>
        <w:rPr>
          <w:rFonts w:hint="eastAsia" w:ascii="FangSong_GB2312" w:hAnsi="宋体" w:eastAsia="FangSong_GB2312"/>
          <w:b/>
          <w:bCs/>
          <w:color w:val="auto"/>
          <w:sz w:val="21"/>
          <w:szCs w:val="21"/>
          <w:highlight w:val="none"/>
        </w:rPr>
      </w:pPr>
    </w:p>
    <w:p w14:paraId="42691486">
      <w:pPr>
        <w:pStyle w:val="14"/>
        <w:spacing w:line="400" w:lineRule="exact"/>
        <w:rPr>
          <w:rFonts w:hint="eastAsia" w:ascii="FangSong_GB2312" w:hAnsi="宋体" w:eastAsia="FangSong_GB2312"/>
          <w:b/>
          <w:bCs/>
          <w:color w:val="auto"/>
          <w:sz w:val="36"/>
          <w:szCs w:val="36"/>
          <w:highlight w:val="none"/>
        </w:rPr>
      </w:pPr>
    </w:p>
    <w:p w14:paraId="362E20F4">
      <w:pPr>
        <w:pStyle w:val="14"/>
        <w:spacing w:line="400" w:lineRule="exact"/>
        <w:jc w:val="center"/>
        <w:rPr>
          <w:rFonts w:hint="eastAsia" w:hAnsi="宋体" w:cs="宋体"/>
          <w:b/>
          <w:bCs/>
          <w:color w:val="auto"/>
          <w:sz w:val="36"/>
          <w:szCs w:val="36"/>
          <w:highlight w:val="none"/>
        </w:rPr>
      </w:pPr>
      <w:r>
        <w:rPr>
          <w:rFonts w:hint="eastAsia" w:hAnsi="宋体" w:cs="宋体"/>
          <w:b/>
          <w:bCs/>
          <w:color w:val="auto"/>
          <w:sz w:val="36"/>
          <w:szCs w:val="36"/>
          <w:highlight w:val="none"/>
        </w:rPr>
        <w:t>三、勘察合同专用条件</w:t>
      </w:r>
    </w:p>
    <w:p w14:paraId="43C20E84">
      <w:pPr>
        <w:pStyle w:val="14"/>
        <w:spacing w:line="400" w:lineRule="exact"/>
        <w:ind w:firstLine="480"/>
        <w:rPr>
          <w:rFonts w:hint="eastAsia" w:hAnsi="宋体" w:cs="宋体"/>
          <w:bCs/>
          <w:color w:val="auto"/>
          <w:sz w:val="21"/>
          <w:szCs w:val="21"/>
          <w:highlight w:val="none"/>
        </w:rPr>
      </w:pPr>
      <w:r>
        <w:rPr>
          <w:rFonts w:hint="eastAsia" w:hAnsi="宋体" w:cs="宋体"/>
          <w:bCs/>
          <w:color w:val="auto"/>
          <w:sz w:val="21"/>
          <w:szCs w:val="21"/>
          <w:highlight w:val="none"/>
        </w:rPr>
        <w:t>注：专用条件中有关条款为下述情况下的条款：即通用条件中的规定所涉及的需在专用条件中阐明替代解决办法的条款。如果在专用条件中未给出替代解决办法，则应按通用条件中的规定执行。</w:t>
      </w:r>
    </w:p>
    <w:p w14:paraId="6FD5B3FE">
      <w:pPr>
        <w:pStyle w:val="14"/>
        <w:spacing w:line="400" w:lineRule="exact"/>
        <w:rPr>
          <w:rFonts w:hint="eastAsia" w:hAnsi="宋体" w:cs="宋体"/>
          <w:b/>
          <w:bCs/>
          <w:color w:val="auto"/>
          <w:sz w:val="21"/>
          <w:szCs w:val="21"/>
          <w:highlight w:val="none"/>
        </w:rPr>
      </w:pPr>
      <w:r>
        <w:rPr>
          <w:rFonts w:hint="eastAsia" w:hAnsi="宋体" w:cs="宋体"/>
          <w:b/>
          <w:bCs/>
          <w:color w:val="auto"/>
          <w:sz w:val="21"/>
          <w:szCs w:val="21"/>
          <w:highlight w:val="none"/>
        </w:rPr>
        <w:t>1.定义和解释</w:t>
      </w:r>
    </w:p>
    <w:p w14:paraId="6B4147E5">
      <w:pPr>
        <w:widowControl w:val="0"/>
        <w:spacing w:after="0"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1.1  本款最后一句修改为：本次进行勘察的项目其勘察阶段包括工程所需要的</w:t>
      </w:r>
      <w:r>
        <w:rPr>
          <w:rFonts w:hint="eastAsia" w:ascii="宋体" w:hAnsi="宋体" w:eastAsia="宋体" w:cs="宋体"/>
          <w:bCs/>
          <w:color w:val="auto"/>
          <w:sz w:val="21"/>
          <w:szCs w:val="21"/>
          <w:highlight w:val="none"/>
          <w:u w:val="single"/>
        </w:rPr>
        <w:t>施工勘察以及建设期间施工配合等阶段</w:t>
      </w:r>
      <w:r>
        <w:rPr>
          <w:rFonts w:hint="eastAsia" w:ascii="宋体" w:hAnsi="宋体" w:eastAsia="宋体" w:cs="宋体"/>
          <w:bCs/>
          <w:color w:val="auto"/>
          <w:sz w:val="21"/>
          <w:szCs w:val="21"/>
          <w:highlight w:val="none"/>
        </w:rPr>
        <w:t>。</w:t>
      </w:r>
    </w:p>
    <w:p w14:paraId="69B392C0">
      <w:pPr>
        <w:widowControl w:val="0"/>
        <w:spacing w:after="0" w:line="40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3.业主的责任与义务</w:t>
      </w:r>
    </w:p>
    <w:p w14:paraId="105AFC7B">
      <w:pPr>
        <w:widowControl w:val="0"/>
        <w:spacing w:after="0" w:line="400" w:lineRule="exact"/>
        <w:ind w:left="431" w:leftChars="172" w:hanging="53" w:hangingChars="25"/>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增加3.9款</w:t>
      </w:r>
    </w:p>
    <w:p w14:paraId="0D1AA900">
      <w:pPr>
        <w:widowControl w:val="0"/>
        <w:spacing w:after="0"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3.9  业主应协助勘察人办理勘察期间的有关交警、电信、市政、园林等部门的作业许可证、野外勘察期临时占地协调，所需相关费用由勘察人在综合单价报价中预先考虑。</w:t>
      </w:r>
    </w:p>
    <w:p w14:paraId="6AEBEFD1">
      <w:pPr>
        <w:widowControl w:val="0"/>
        <w:spacing w:after="0" w:line="40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4.勘察人的责任与义务</w:t>
      </w:r>
    </w:p>
    <w:p w14:paraId="00DBE00F">
      <w:pPr>
        <w:widowControl w:val="0"/>
        <w:spacing w:after="0" w:line="400" w:lineRule="exact"/>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将通用条件4.5.3款修改为以下内容。</w:t>
      </w:r>
    </w:p>
    <w:p w14:paraId="637D11E8">
      <w:pPr>
        <w:widowControl w:val="0"/>
        <w:spacing w:after="0"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4.5.3 提供勘察成果资料及技术服务要求</w:t>
      </w:r>
    </w:p>
    <w:p w14:paraId="35129472">
      <w:pPr>
        <w:widowControl w:val="0"/>
        <w:numPr>
          <w:ilvl w:val="0"/>
          <w:numId w:val="8"/>
        </w:numPr>
        <w:spacing w:after="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提供本勘察项目所有钻孔（包括一般性钻孔和控制性钻孔）取芯的完整照片(包括电子版和彩色纸质版的照片文件)一套，需对取芯照片按照钻探孔号进行编号。</w:t>
      </w:r>
    </w:p>
    <w:p w14:paraId="292379CE">
      <w:pPr>
        <w:widowControl w:val="0"/>
        <w:numPr>
          <w:ilvl w:val="0"/>
          <w:numId w:val="8"/>
        </w:numPr>
        <w:spacing w:after="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提供满足规范及设计要求的施工勘察报告</w:t>
      </w:r>
      <w:r>
        <w:rPr>
          <w:rFonts w:hint="eastAsia" w:ascii="宋体" w:hAnsi="宋体" w:eastAsia="宋体" w:cs="宋体"/>
          <w:color w:val="auto"/>
          <w:sz w:val="21"/>
          <w:szCs w:val="21"/>
          <w:highlight w:val="none"/>
          <w:u w:val="single"/>
        </w:rPr>
        <w:t xml:space="preserve"> 捌 </w:t>
      </w:r>
      <w:r>
        <w:rPr>
          <w:rFonts w:hint="eastAsia" w:ascii="宋体" w:hAnsi="宋体" w:eastAsia="宋体" w:cs="宋体"/>
          <w:color w:val="auto"/>
          <w:sz w:val="21"/>
          <w:szCs w:val="21"/>
          <w:highlight w:val="none"/>
        </w:rPr>
        <w:t>份，并对其质量负责，包括但不限于：</w:t>
      </w:r>
    </w:p>
    <w:p w14:paraId="06D4163D">
      <w:pPr>
        <w:pStyle w:val="35"/>
        <w:numPr>
          <w:ilvl w:val="0"/>
          <w:numId w:val="9"/>
        </w:numPr>
        <w:adjustRightInd w:val="0"/>
        <w:spacing w:line="400" w:lineRule="exact"/>
        <w:ind w:left="567" w:hanging="141" w:firstLineChars="0"/>
        <w:jc w:val="left"/>
        <w:rPr>
          <w:rFonts w:hint="eastAsia" w:ascii="宋体" w:hAnsi="宋体" w:cs="宋体"/>
          <w:color w:val="auto"/>
          <w:szCs w:val="21"/>
          <w:highlight w:val="none"/>
        </w:rPr>
      </w:pPr>
      <w:r>
        <w:rPr>
          <w:rFonts w:hint="eastAsia" w:ascii="宋体" w:hAnsi="宋体" w:cs="宋体"/>
          <w:color w:val="auto"/>
          <w:szCs w:val="21"/>
          <w:highlight w:val="none"/>
        </w:rPr>
        <w:t xml:space="preserve"> 勘察概况；</w:t>
      </w:r>
    </w:p>
    <w:p w14:paraId="37F99F75">
      <w:pPr>
        <w:pStyle w:val="35"/>
        <w:numPr>
          <w:ilvl w:val="0"/>
          <w:numId w:val="9"/>
        </w:numPr>
        <w:adjustRightInd w:val="0"/>
        <w:spacing w:line="400" w:lineRule="exact"/>
        <w:ind w:left="567" w:hanging="141" w:firstLineChars="0"/>
        <w:jc w:val="left"/>
        <w:rPr>
          <w:rFonts w:hint="eastAsia" w:ascii="宋体" w:hAnsi="宋体" w:cs="宋体"/>
          <w:color w:val="auto"/>
          <w:szCs w:val="21"/>
          <w:highlight w:val="none"/>
        </w:rPr>
      </w:pPr>
      <w:r>
        <w:rPr>
          <w:rFonts w:hint="eastAsia" w:ascii="宋体" w:hAnsi="宋体" w:cs="宋体"/>
          <w:color w:val="auto"/>
          <w:szCs w:val="21"/>
          <w:highlight w:val="none"/>
        </w:rPr>
        <w:t xml:space="preserve"> 钻孔平面布置图；</w:t>
      </w:r>
    </w:p>
    <w:p w14:paraId="58BF03B2">
      <w:pPr>
        <w:widowControl w:val="0"/>
        <w:numPr>
          <w:ilvl w:val="0"/>
          <w:numId w:val="9"/>
        </w:numPr>
        <w:spacing w:after="0" w:line="400" w:lineRule="exact"/>
        <w:ind w:left="567" w:hanging="14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工程地质剖面图、工程地质纵横剖面图（1：200）；</w:t>
      </w:r>
    </w:p>
    <w:p w14:paraId="5D96B2CE">
      <w:pPr>
        <w:widowControl w:val="0"/>
        <w:numPr>
          <w:ilvl w:val="0"/>
          <w:numId w:val="9"/>
        </w:numPr>
        <w:spacing w:after="0" w:line="400" w:lineRule="exact"/>
        <w:ind w:left="567" w:hanging="14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钻孔柱状图（1：100）；</w:t>
      </w:r>
    </w:p>
    <w:p w14:paraId="2821088B">
      <w:pPr>
        <w:widowControl w:val="0"/>
        <w:numPr>
          <w:ilvl w:val="0"/>
          <w:numId w:val="9"/>
        </w:numPr>
        <w:spacing w:after="0" w:line="400" w:lineRule="exact"/>
        <w:ind w:left="567" w:hanging="14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土工试验报告，岩石试验报告；</w:t>
      </w:r>
    </w:p>
    <w:p w14:paraId="26FCB449">
      <w:pPr>
        <w:widowControl w:val="0"/>
        <w:numPr>
          <w:ilvl w:val="0"/>
          <w:numId w:val="9"/>
        </w:numPr>
        <w:spacing w:after="0" w:line="400" w:lineRule="exact"/>
        <w:ind w:left="567" w:hanging="14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水文工作报告、原位测试报告；</w:t>
      </w:r>
    </w:p>
    <w:p w14:paraId="411C84CF">
      <w:pPr>
        <w:pStyle w:val="35"/>
        <w:numPr>
          <w:ilvl w:val="0"/>
          <w:numId w:val="9"/>
        </w:numPr>
        <w:spacing w:line="400" w:lineRule="exact"/>
        <w:ind w:left="567" w:right="-350" w:rightChars="-159" w:hanging="141" w:firstLineChars="0"/>
        <w:jc w:val="left"/>
        <w:rPr>
          <w:rFonts w:hint="eastAsia" w:ascii="宋体" w:hAnsi="宋体" w:cs="宋体"/>
          <w:color w:val="auto"/>
          <w:szCs w:val="21"/>
          <w:highlight w:val="none"/>
        </w:rPr>
      </w:pPr>
      <w:r>
        <w:rPr>
          <w:rFonts w:hint="eastAsia" w:ascii="宋体" w:hAnsi="宋体" w:cs="宋体"/>
          <w:color w:val="auto"/>
          <w:szCs w:val="21"/>
          <w:highlight w:val="none"/>
        </w:rPr>
        <w:t xml:space="preserve"> 对建筑物范围内的地质构造、地层结构及其均匀性，以及各岩土层的物理力学性质和工程特性做出评价；</w:t>
      </w:r>
    </w:p>
    <w:p w14:paraId="41454056">
      <w:pPr>
        <w:pStyle w:val="35"/>
        <w:numPr>
          <w:ilvl w:val="0"/>
          <w:numId w:val="9"/>
        </w:numPr>
        <w:spacing w:line="400" w:lineRule="exact"/>
        <w:ind w:left="567" w:right="-350" w:rightChars="-159" w:hanging="141" w:firstLineChars="0"/>
        <w:jc w:val="left"/>
        <w:rPr>
          <w:rFonts w:hint="eastAsia" w:ascii="宋体" w:hAnsi="宋体" w:cs="宋体"/>
          <w:color w:val="auto"/>
          <w:szCs w:val="21"/>
          <w:highlight w:val="none"/>
        </w:rPr>
      </w:pPr>
      <w:r>
        <w:rPr>
          <w:rFonts w:hint="eastAsia" w:ascii="宋体" w:hAnsi="宋体" w:cs="宋体"/>
          <w:color w:val="auto"/>
          <w:szCs w:val="21"/>
          <w:highlight w:val="none"/>
        </w:rPr>
        <w:t xml:space="preserve"> 有无影响建筑场地稳定性的不良地质作用，场地不良地质作用的成因、分布、规模、发展趋势，有无暗浜、暗塘、墓穴等，并对其危害程度、建筑场地稳定性做出评价，提出预防措施的建议；</w:t>
      </w:r>
    </w:p>
    <w:p w14:paraId="71C89304">
      <w:pPr>
        <w:pStyle w:val="35"/>
        <w:numPr>
          <w:ilvl w:val="0"/>
          <w:numId w:val="9"/>
        </w:numPr>
        <w:spacing w:line="400" w:lineRule="exact"/>
        <w:ind w:left="567" w:right="-350" w:rightChars="-159" w:hanging="141" w:firstLineChars="0"/>
        <w:jc w:val="left"/>
        <w:rPr>
          <w:rFonts w:hint="eastAsia" w:ascii="宋体" w:hAnsi="宋体" w:cs="宋体"/>
          <w:color w:val="auto"/>
          <w:szCs w:val="21"/>
          <w:highlight w:val="none"/>
        </w:rPr>
      </w:pPr>
      <w:r>
        <w:rPr>
          <w:rFonts w:hint="eastAsia" w:ascii="宋体" w:hAnsi="宋体" w:cs="宋体"/>
          <w:color w:val="auto"/>
          <w:szCs w:val="21"/>
          <w:highlight w:val="none"/>
        </w:rPr>
        <w:t xml:space="preserve"> 地下水埋藏情况、类型和水位幅度和规律，以及地下水和土对建筑材料的腐蚀性，设计抗渗水位及抗浮水位，提出施工降水方法的建议和有关技术参数；</w:t>
      </w:r>
    </w:p>
    <w:p w14:paraId="5C87E05A">
      <w:pPr>
        <w:pStyle w:val="35"/>
        <w:numPr>
          <w:ilvl w:val="0"/>
          <w:numId w:val="9"/>
        </w:numPr>
        <w:spacing w:line="400" w:lineRule="exact"/>
        <w:ind w:left="567" w:right="-350" w:rightChars="-159" w:hanging="141" w:firstLineChars="0"/>
        <w:jc w:val="left"/>
        <w:rPr>
          <w:rFonts w:hint="eastAsia" w:ascii="宋体" w:hAnsi="宋体" w:cs="宋体"/>
          <w:color w:val="auto"/>
          <w:szCs w:val="21"/>
          <w:highlight w:val="none"/>
        </w:rPr>
      </w:pPr>
      <w:r>
        <w:rPr>
          <w:rFonts w:hint="eastAsia" w:ascii="宋体" w:hAnsi="宋体" w:cs="宋体"/>
          <w:color w:val="auto"/>
          <w:szCs w:val="21"/>
          <w:highlight w:val="none"/>
        </w:rPr>
        <w:t xml:space="preserve"> 提供抗震设防烈度、分组及有关技术参数，场地土类型和场地类别，并对饱和砂土和粉土进行液化判别，对场地和地基的地震效应、场地地震安全性做出初步评价；</w:t>
      </w:r>
    </w:p>
    <w:p w14:paraId="3576AC0C">
      <w:pPr>
        <w:pStyle w:val="35"/>
        <w:numPr>
          <w:ilvl w:val="0"/>
          <w:numId w:val="9"/>
        </w:numPr>
        <w:spacing w:line="400" w:lineRule="exact"/>
        <w:ind w:left="567" w:right="-350" w:rightChars="-159" w:hanging="141" w:firstLineChars="0"/>
        <w:jc w:val="left"/>
        <w:rPr>
          <w:rFonts w:hint="eastAsia" w:ascii="宋体" w:hAnsi="宋体" w:cs="宋体"/>
          <w:color w:val="auto"/>
          <w:szCs w:val="21"/>
          <w:highlight w:val="none"/>
        </w:rPr>
      </w:pPr>
      <w:r>
        <w:rPr>
          <w:rFonts w:hint="eastAsia" w:ascii="宋体" w:hAnsi="宋体" w:cs="宋体"/>
          <w:color w:val="auto"/>
          <w:szCs w:val="21"/>
          <w:highlight w:val="none"/>
        </w:rPr>
        <w:t xml:space="preserve"> 对可供采用的地基基础设计方案进行论证分析，建议适当的基础形式和基础持力层，并提出经济合理的地基和基础设计方案和建议；</w:t>
      </w:r>
    </w:p>
    <w:p w14:paraId="2DF9B5F8">
      <w:pPr>
        <w:pStyle w:val="35"/>
        <w:numPr>
          <w:ilvl w:val="0"/>
          <w:numId w:val="9"/>
        </w:numPr>
        <w:spacing w:line="400" w:lineRule="exact"/>
        <w:ind w:left="567" w:right="-350" w:rightChars="-159" w:hanging="141" w:firstLineChars="0"/>
        <w:jc w:val="left"/>
        <w:rPr>
          <w:rFonts w:hint="eastAsia" w:ascii="宋体" w:hAnsi="宋体" w:cs="宋体"/>
          <w:color w:val="auto"/>
          <w:szCs w:val="21"/>
          <w:highlight w:val="none"/>
        </w:rPr>
      </w:pPr>
      <w:r>
        <w:rPr>
          <w:rFonts w:hint="eastAsia" w:ascii="宋体" w:hAnsi="宋体" w:cs="宋体"/>
          <w:color w:val="auto"/>
          <w:szCs w:val="21"/>
          <w:highlight w:val="none"/>
        </w:rPr>
        <w:t xml:space="preserve"> 拟采用桩基方案时成桩的可能性分析，施工对周围环境影响分析和评价；</w:t>
      </w:r>
    </w:p>
    <w:p w14:paraId="1B5D397D">
      <w:pPr>
        <w:pStyle w:val="35"/>
        <w:numPr>
          <w:ilvl w:val="0"/>
          <w:numId w:val="9"/>
        </w:numPr>
        <w:spacing w:line="400" w:lineRule="exact"/>
        <w:ind w:left="567" w:right="-350" w:rightChars="-159" w:hanging="141" w:firstLineChars="0"/>
        <w:jc w:val="left"/>
        <w:rPr>
          <w:rFonts w:hint="eastAsia" w:ascii="宋体" w:hAnsi="宋体" w:cs="宋体"/>
          <w:color w:val="auto"/>
          <w:szCs w:val="21"/>
          <w:highlight w:val="none"/>
        </w:rPr>
      </w:pPr>
      <w:r>
        <w:rPr>
          <w:rFonts w:hint="eastAsia" w:ascii="宋体" w:hAnsi="宋体" w:cs="宋体"/>
          <w:color w:val="auto"/>
          <w:szCs w:val="21"/>
          <w:highlight w:val="none"/>
        </w:rPr>
        <w:t xml:space="preserve"> 提供与设计要求相对应的地基承载力特征值及变形计算参数，预估基础沉降量，估算的期望差和总基础和桩沉降值，并对设计与施工应注意的问题提出建议；</w:t>
      </w:r>
    </w:p>
    <w:p w14:paraId="7B9D8800">
      <w:pPr>
        <w:pStyle w:val="35"/>
        <w:numPr>
          <w:ilvl w:val="0"/>
          <w:numId w:val="9"/>
        </w:numPr>
        <w:spacing w:line="400" w:lineRule="exact"/>
        <w:ind w:left="567" w:right="-350" w:rightChars="-159" w:hanging="141" w:firstLineChars="0"/>
        <w:jc w:val="left"/>
        <w:rPr>
          <w:rFonts w:hint="eastAsia" w:ascii="宋体" w:hAnsi="宋体" w:cs="宋体"/>
          <w:color w:val="auto"/>
          <w:szCs w:val="21"/>
          <w:highlight w:val="none"/>
        </w:rPr>
      </w:pPr>
      <w:r>
        <w:rPr>
          <w:rFonts w:hint="eastAsia" w:ascii="宋体" w:hAnsi="宋体" w:cs="宋体"/>
          <w:color w:val="auto"/>
          <w:szCs w:val="21"/>
          <w:highlight w:val="none"/>
        </w:rPr>
        <w:t xml:space="preserve"> 深基坑开挖的边坡稳定计算、支护设计及施工降水所需的岩土技术参数，论证其对周围已有建筑物和地下设施的影响。</w:t>
      </w:r>
    </w:p>
    <w:p w14:paraId="2D608CD6">
      <w:pPr>
        <w:widowControl w:val="0"/>
        <w:spacing w:after="0"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4.6 根据本项目特点，特制定本项目勘察技术要求详见合同附件一。</w:t>
      </w:r>
    </w:p>
    <w:p w14:paraId="0B2D220E">
      <w:pPr>
        <w:widowControl w:val="0"/>
        <w:spacing w:after="0"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增加4.14款</w:t>
      </w:r>
    </w:p>
    <w:p w14:paraId="5B2317B4">
      <w:pPr>
        <w:widowControl w:val="0"/>
        <w:spacing w:after="0"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4.14勘察人所投入的主要人员、等与投标时拟投入主要人员、拟投入机械设备仪器必须一致，否则视情况做相应处罚，罚金</w:t>
      </w:r>
      <w:r>
        <w:rPr>
          <w:rFonts w:hint="eastAsia" w:ascii="宋体" w:hAnsi="宋体" w:eastAsia="宋体" w:cs="宋体"/>
          <w:color w:val="auto"/>
          <w:sz w:val="21"/>
          <w:szCs w:val="21"/>
          <w:highlight w:val="none"/>
        </w:rPr>
        <w:t>的最低数额不少于人民币叁万元整</w:t>
      </w:r>
      <w:r>
        <w:rPr>
          <w:rFonts w:hint="eastAsia" w:ascii="宋体" w:hAnsi="宋体" w:eastAsia="宋体" w:cs="宋体"/>
          <w:bCs/>
          <w:color w:val="auto"/>
          <w:sz w:val="21"/>
          <w:szCs w:val="21"/>
          <w:highlight w:val="none"/>
        </w:rPr>
        <w:t>。不能随意更换项目负责人、项目审核人，如需要更换他人，勘察人应提前10天报业主批准，接替人员的学历、资历、技术职称、管理和技术水平不能低于原来的人员，同时发包人收取勘察人违约金人民币伍万元整（每更换一人每次伍万元）。</w:t>
      </w:r>
    </w:p>
    <w:p w14:paraId="01D4DDA6">
      <w:pPr>
        <w:widowControl w:val="0"/>
        <w:spacing w:after="0"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增加4.15款</w:t>
      </w:r>
    </w:p>
    <w:p w14:paraId="55DB5B2B">
      <w:pPr>
        <w:widowControl w:val="0"/>
        <w:spacing w:after="0"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4.15 在勘察过程中，若遇到现需处理问题时，勘察人必须在接到甲方通知起，按投标文件承诺的响应时间处理问题，否则，每逾期一次处罚人民币壹仟元整。</w:t>
      </w:r>
    </w:p>
    <w:p w14:paraId="71CB43A0">
      <w:pPr>
        <w:widowControl w:val="0"/>
        <w:spacing w:after="0"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增加4.16款</w:t>
      </w:r>
    </w:p>
    <w:p w14:paraId="010B3FE0">
      <w:pPr>
        <w:widowControl w:val="0"/>
        <w:spacing w:after="0"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4.16 项目后期若发生基坑沟槽开挖深度超过5米的，勘察人应根据相关现行国家及行业规范标准进行基坑边坡支护设计及变形监测等招标时未考虑到的工作内容的，</w:t>
      </w:r>
      <w:r>
        <w:rPr>
          <w:rFonts w:hint="eastAsia" w:ascii="宋体" w:hAnsi="宋体" w:eastAsia="宋体" w:cs="宋体"/>
          <w:color w:val="auto"/>
          <w:sz w:val="21"/>
          <w:szCs w:val="21"/>
          <w:highlight w:val="none"/>
        </w:rPr>
        <w:t>由中标单位按中标勘察费的打折系数负责完成并满足项目特点、技术规范及业主需求，</w:t>
      </w:r>
      <w:r>
        <w:rPr>
          <w:rFonts w:hint="eastAsia" w:ascii="宋体" w:hAnsi="宋体" w:eastAsia="宋体" w:cs="宋体"/>
          <w:bCs/>
          <w:color w:val="auto"/>
          <w:sz w:val="21"/>
          <w:szCs w:val="21"/>
          <w:highlight w:val="none"/>
        </w:rPr>
        <w:t>若勘察人资质不能达到相关承包资质要求的，则由业主另行委托专业单位完成。</w:t>
      </w:r>
    </w:p>
    <w:p w14:paraId="5823A29F">
      <w:pPr>
        <w:widowControl w:val="0"/>
        <w:spacing w:after="0" w:line="400" w:lineRule="exact"/>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增加4.17款</w:t>
      </w:r>
    </w:p>
    <w:p w14:paraId="77C8C3B5">
      <w:pPr>
        <w:widowControl w:val="0"/>
        <w:spacing w:after="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4.17 勘察工作基本要求</w:t>
      </w:r>
    </w:p>
    <w:p w14:paraId="3A519B22">
      <w:pPr>
        <w:widowControl w:val="0"/>
        <w:spacing w:after="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（一）试验资料要求</w:t>
      </w:r>
    </w:p>
    <w:p w14:paraId="4E06EA94">
      <w:pPr>
        <w:widowControl w:val="0"/>
        <w:spacing w:after="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1、室内土工试验项目按相应规范执行，提供基础设计所需的各岩土层物理力学参数。</w:t>
      </w:r>
    </w:p>
    <w:p w14:paraId="05DBF8ED">
      <w:pPr>
        <w:widowControl w:val="0"/>
        <w:spacing w:after="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2、对个别土样试验参数差异较大者，应综合分析，合理取舍，并根据具体情况在土工试验表备注栏中说明，以利设计时取舍采用。</w:t>
      </w:r>
    </w:p>
    <w:p w14:paraId="37DD1A64">
      <w:pPr>
        <w:widowControl w:val="0"/>
        <w:spacing w:after="0" w:line="400" w:lineRule="exact"/>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5.违约与赔偿</w:t>
      </w:r>
    </w:p>
    <w:p w14:paraId="263D8DB8">
      <w:pPr>
        <w:widowControl w:val="0"/>
        <w:spacing w:after="0"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5.1.2 本条款删除。</w:t>
      </w:r>
    </w:p>
    <w:p w14:paraId="36C127AE">
      <w:pPr>
        <w:widowControl w:val="0"/>
        <w:spacing w:after="0"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5.1.3在合同履行期间，业主要求终止或解除合同的(但并非勘察人原因造成)，业主除应按勘察人完成的实际工作量支付费用外，还应按剩余合同价的5%～10%向勘察人支付违约金。</w:t>
      </w:r>
    </w:p>
    <w:p w14:paraId="27BECE47">
      <w:pPr>
        <w:widowControl w:val="0"/>
        <w:spacing w:after="0" w:line="400" w:lineRule="exact"/>
        <w:ind w:firstLine="48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修改为：在合同履行期间，业主要求终止或解除合同的(但并非勘察人原因造成)，业主应按勘察人完成的实际工作量支付费用。</w:t>
      </w:r>
    </w:p>
    <w:p w14:paraId="1E6EFECB">
      <w:pPr>
        <w:widowControl w:val="0"/>
        <w:spacing w:after="0" w:line="400" w:lineRule="exact"/>
        <w:ind w:firstLine="48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5.2.3  本款“勘察人未能……(业主同意延长期限的除外)……”修改为“勘察人未能……(业主同意延长期限或非勘察人原因造成逾期的除外)……”。</w:t>
      </w:r>
    </w:p>
    <w:p w14:paraId="72ACC63C">
      <w:pPr>
        <w:widowControl w:val="0"/>
        <w:spacing w:after="0" w:line="400" w:lineRule="exact"/>
        <w:ind w:firstLine="48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5.2.4  “因勘察深度不够、资料不足以及勘察质量低劣而被要求返工从而造成质量问题的，除由勘察人负责继续完善勘察外，业主还可视造成的时间延误和费用损失，计扣勘察人合同价5%～10%的违约金。”</w:t>
      </w:r>
    </w:p>
    <w:p w14:paraId="7B0B6289">
      <w:pPr>
        <w:widowControl w:val="0"/>
        <w:spacing w:after="0" w:line="400" w:lineRule="exact"/>
        <w:ind w:firstLine="48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修改为“因勘察深度不够、资料不足以及勘察质量低劣，造成设计、施工重大修改而被要求返工从而造成质量问题的，造成工程投资增加：超过施工投标价5％以内的，除由勘察人负责继续完善勘察外，业主还可视造成的时间延误和费用损失，计扣勘察人合同价1％～5%的违约金；超过施工投标价5％～10％的，计扣勘察人合同价10%的违约金；超过施工投标价10％的，业主另行委托其他勘察人继续完成本工程项目的勘察工作，另行委托其他勘察人承担勘察工作所发生的勘察费用将从勘察人勘察费用中扣除支付。由于设计方案变更引起的补充勘察不在此责任范围。”</w:t>
      </w:r>
    </w:p>
    <w:p w14:paraId="3230AB8D">
      <w:pPr>
        <w:widowControl w:val="0"/>
        <w:spacing w:after="0" w:line="400" w:lineRule="exact"/>
        <w:ind w:firstLine="48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增加以下违约责任条款：</w:t>
      </w:r>
    </w:p>
    <w:p w14:paraId="1B4721FF">
      <w:pPr>
        <w:widowControl w:val="0"/>
        <w:spacing w:after="0" w:line="400" w:lineRule="exact"/>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5.2.9 项目开工后，业主如发现勘察报告中反映的勘察孔位内主要地层勘察成果数据与孔位处实际地层构成状况误差超过±1m范围，抗浮设防水位合理性存在较大误差，设计单位根据勘察人所提供的岩土相关参数设计的地基基础成果与现场实际现状差异较大，前述任何一种或几种情况如发生，则可判定该地勘报告与实际地质状况存在重大偏差，业主将对勘察人处以所有超标误差孔位勘察费用</w:t>
      </w:r>
      <w:r>
        <w:rPr>
          <w:rFonts w:hint="eastAsia" w:ascii="宋体" w:hAnsi="宋体" w:eastAsia="宋体" w:cs="宋体"/>
          <w:color w:val="auto"/>
          <w:sz w:val="21"/>
          <w:szCs w:val="21"/>
          <w:highlight w:val="none"/>
          <w:u w:val="single"/>
        </w:rPr>
        <w:t>10%～20%</w:t>
      </w:r>
      <w:r>
        <w:rPr>
          <w:rFonts w:hint="eastAsia" w:ascii="宋体" w:hAnsi="宋体" w:eastAsia="宋体" w:cs="宋体"/>
          <w:color w:val="auto"/>
          <w:sz w:val="21"/>
          <w:szCs w:val="21"/>
          <w:highlight w:val="none"/>
        </w:rPr>
        <w:t>的违约金，违约金不足以补偿业主损失的，应赔偿业主全部损失。</w:t>
      </w:r>
    </w:p>
    <w:p w14:paraId="764085DA">
      <w:pPr>
        <w:widowControl w:val="0"/>
        <w:spacing w:after="0" w:line="400" w:lineRule="exact"/>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5.2.10 因勘察原因导致工程返工的，或由于勘察人的工作错误造成工程质量事故和工期成本方面的损失的（包括但不限于勘察人勘察质量、勘察深度、勘察进度达不到国家规范标准及双方的约定或勘察方案、数据或结论不合理等情况发生），勘察人除负责采取补救措施并免收相应部分的勘察费外，还应向业主支付合同价</w:t>
      </w:r>
      <w:r>
        <w:rPr>
          <w:rFonts w:hint="eastAsia" w:ascii="宋体" w:hAnsi="宋体" w:eastAsia="宋体" w:cs="宋体"/>
          <w:color w:val="auto"/>
          <w:sz w:val="21"/>
          <w:szCs w:val="21"/>
          <w:highlight w:val="none"/>
          <w:u w:val="single"/>
        </w:rPr>
        <w:t>20%</w:t>
      </w:r>
      <w:r>
        <w:rPr>
          <w:rFonts w:hint="eastAsia" w:ascii="宋体" w:hAnsi="宋体" w:eastAsia="宋体" w:cs="宋体"/>
          <w:color w:val="auto"/>
          <w:sz w:val="21"/>
          <w:szCs w:val="21"/>
          <w:highlight w:val="none"/>
        </w:rPr>
        <w:t>的违约金，违约金不足以补偿业主损失的，应赔偿业主全部损失，业主有权从勘察人勘察费中直接扣除，但赔偿金最高限额不超过本合同勘察费的总额。</w:t>
      </w:r>
    </w:p>
    <w:p w14:paraId="297C298E">
      <w:pPr>
        <w:widowControl w:val="0"/>
        <w:spacing w:after="0" w:line="400" w:lineRule="exact"/>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5.2.11 勘察人应保证所提交的的勘察成果文件一次性通过政府审图机构审查，否则视为勘察人延误勘察成果交付时间，视为延误或勘察人未按照本合同约定日期提交勘察成果的，每延误一日，勘察人应向业主支付</w:t>
      </w:r>
      <w:r>
        <w:rPr>
          <w:rFonts w:hint="eastAsia" w:ascii="宋体" w:hAnsi="宋体" w:eastAsia="宋体" w:cs="宋体"/>
          <w:color w:val="auto"/>
          <w:sz w:val="21"/>
          <w:szCs w:val="21"/>
          <w:highlight w:val="none"/>
          <w:u w:val="single"/>
        </w:rPr>
        <w:t>2000元/天</w:t>
      </w:r>
      <w:r>
        <w:rPr>
          <w:rFonts w:hint="eastAsia" w:ascii="宋体" w:hAnsi="宋体" w:eastAsia="宋体" w:cs="宋体"/>
          <w:color w:val="auto"/>
          <w:sz w:val="21"/>
          <w:szCs w:val="21"/>
          <w:highlight w:val="none"/>
        </w:rPr>
        <w:t>的违约金，业主有权从支付给勘察人的任何费用中直接扣除；延误超过</w:t>
      </w:r>
      <w:r>
        <w:rPr>
          <w:rFonts w:hint="eastAsia" w:ascii="宋体" w:hAnsi="宋体" w:eastAsia="宋体" w:cs="宋体"/>
          <w:color w:val="auto"/>
          <w:sz w:val="21"/>
          <w:szCs w:val="21"/>
          <w:highlight w:val="none"/>
          <w:u w:val="single"/>
        </w:rPr>
        <w:t xml:space="preserve"> 60 </w:t>
      </w:r>
      <w:r>
        <w:rPr>
          <w:rFonts w:hint="eastAsia" w:ascii="宋体" w:hAnsi="宋体" w:eastAsia="宋体" w:cs="宋体"/>
          <w:color w:val="auto"/>
          <w:sz w:val="21"/>
          <w:szCs w:val="21"/>
          <w:highlight w:val="none"/>
        </w:rPr>
        <w:t>日或若采取以上措施后，仍不能满足业主提出的要求的，业主有权拒付款项并行使单方解约权，勘察人应向业主支付合同价</w:t>
      </w:r>
      <w:r>
        <w:rPr>
          <w:rFonts w:hint="eastAsia" w:ascii="宋体" w:hAnsi="宋体" w:eastAsia="宋体" w:cs="宋体"/>
          <w:color w:val="auto"/>
          <w:sz w:val="21"/>
          <w:szCs w:val="21"/>
          <w:highlight w:val="none"/>
          <w:u w:val="single"/>
        </w:rPr>
        <w:t>20%</w:t>
      </w:r>
      <w:r>
        <w:rPr>
          <w:rFonts w:hint="eastAsia" w:ascii="宋体" w:hAnsi="宋体" w:eastAsia="宋体" w:cs="宋体"/>
          <w:color w:val="auto"/>
          <w:sz w:val="21"/>
          <w:szCs w:val="21"/>
          <w:highlight w:val="none"/>
        </w:rPr>
        <w:t>的违约金，违约金不足以补偿业主损失的，应赔偿业主全部损失。</w:t>
      </w:r>
    </w:p>
    <w:p w14:paraId="33B8B815">
      <w:pPr>
        <w:widowControl w:val="0"/>
        <w:spacing w:after="0" w:line="400" w:lineRule="exact"/>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5.2.12 深基坑施工过程中若发生勘察封孔漏水，则每渗漏一个点，业主将对勘察人处以人民币</w:t>
      </w:r>
      <w:r>
        <w:rPr>
          <w:rFonts w:hint="eastAsia" w:ascii="宋体" w:hAnsi="宋体" w:eastAsia="宋体" w:cs="宋体"/>
          <w:color w:val="auto"/>
          <w:sz w:val="21"/>
          <w:szCs w:val="21"/>
          <w:highlight w:val="none"/>
          <w:u w:val="single"/>
        </w:rPr>
        <w:t xml:space="preserve"> 50000 </w:t>
      </w:r>
      <w:r>
        <w:rPr>
          <w:rFonts w:hint="eastAsia" w:ascii="宋体" w:hAnsi="宋体" w:eastAsia="宋体" w:cs="宋体"/>
          <w:color w:val="auto"/>
          <w:sz w:val="21"/>
          <w:szCs w:val="21"/>
          <w:highlight w:val="none"/>
        </w:rPr>
        <w:t>元的罚款。</w:t>
      </w:r>
    </w:p>
    <w:p w14:paraId="62269A1E">
      <w:pPr>
        <w:widowControl w:val="0"/>
        <w:spacing w:after="0" w:line="400" w:lineRule="exact"/>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5.2.13 当勘察人单方面要求解除合同时，勘察人应双倍返还业主已付的预付款，并退回已付的勘察费。无预付款或业主未支付预付款的，勘察人应向业主支付合同价</w:t>
      </w:r>
      <w:r>
        <w:rPr>
          <w:rFonts w:hint="eastAsia" w:ascii="宋体" w:hAnsi="宋体" w:eastAsia="宋体" w:cs="宋体"/>
          <w:color w:val="auto"/>
          <w:sz w:val="21"/>
          <w:szCs w:val="21"/>
          <w:highlight w:val="none"/>
          <w:u w:val="single"/>
        </w:rPr>
        <w:t>20%</w:t>
      </w:r>
      <w:r>
        <w:rPr>
          <w:rFonts w:hint="eastAsia" w:ascii="宋体" w:hAnsi="宋体" w:eastAsia="宋体" w:cs="宋体"/>
          <w:color w:val="auto"/>
          <w:sz w:val="21"/>
          <w:szCs w:val="21"/>
          <w:highlight w:val="none"/>
        </w:rPr>
        <w:t>的违约金，违约金不足以补偿业主损失的，应赔偿业主全部损失。</w:t>
      </w:r>
    </w:p>
    <w:p w14:paraId="4B651CA7">
      <w:pPr>
        <w:widowControl w:val="0"/>
        <w:spacing w:after="0" w:line="40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6.合同的生效、变更与终止</w:t>
      </w:r>
    </w:p>
    <w:p w14:paraId="1958711A">
      <w:pPr>
        <w:widowControl w:val="0"/>
        <w:spacing w:after="0" w:line="40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  6.2  履约保证金</w:t>
      </w:r>
    </w:p>
    <w:p w14:paraId="573256FB">
      <w:pPr>
        <w:widowControl w:val="0"/>
        <w:spacing w:after="0" w:line="400" w:lineRule="exact"/>
        <w:ind w:firstLine="210" w:firstLineChars="1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6.2.1勘察人在合同签订生效后7日内，须向发包人提交合同价款的 5% 作为履约担保，履约担保的形式：履约保证金或履约保函，否则发包人将取消其中标资格。勘察人提供履约保证金的，须以须以银行转账方式缴纳，勘察人按约定履行合同完毕后，发包人在15天内将履约保证金（无息）退还给承包人；勘察人提供履约保函的，须以银行保函、柳州市国有担保公司保函等方式。并参照附件1格式。</w:t>
      </w:r>
    </w:p>
    <w:p w14:paraId="3330CF6A">
      <w:pPr>
        <w:widowControl w:val="0"/>
        <w:spacing w:after="0" w:line="400" w:lineRule="exact"/>
        <w:ind w:firstLine="48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6.5  在本款末增加：非勘察人原因引起的勘察变更除外。</w:t>
      </w:r>
    </w:p>
    <w:p w14:paraId="027A934C">
      <w:pPr>
        <w:widowControl w:val="0"/>
        <w:spacing w:after="0" w:line="40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7.费用与支付</w:t>
      </w:r>
    </w:p>
    <w:p w14:paraId="574B160E">
      <w:pPr>
        <w:widowControl w:val="0"/>
        <w:spacing w:after="0"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7.1本款末增加：勘察钻孔过程中投标人需要采用钢套管等措施辅助钻进的，属于投标人的施工保证措施，该部分费用应作为措施费由投标人自行在报价中考虑，招标人不再另行给予现场签证并支付。</w:t>
      </w:r>
    </w:p>
    <w:p w14:paraId="64E9F3B6">
      <w:pPr>
        <w:widowControl w:val="0"/>
        <w:spacing w:after="0" w:line="400" w:lineRule="exact"/>
        <w:ind w:firstLine="422" w:firstLineChars="200"/>
        <w:rPr>
          <w:rFonts w:hint="eastAsia" w:ascii="宋体" w:hAnsi="宋体" w:eastAsia="宋体" w:cs="宋体"/>
          <w:bCs/>
          <w:color w:val="auto"/>
          <w:sz w:val="21"/>
          <w:szCs w:val="21"/>
          <w:highlight w:val="none"/>
        </w:rPr>
      </w:pPr>
      <w:r>
        <w:rPr>
          <w:rFonts w:hint="eastAsia" w:ascii="宋体" w:hAnsi="宋体" w:eastAsia="宋体"/>
          <w:b/>
          <w:color w:val="auto"/>
          <w:sz w:val="21"/>
          <w:szCs w:val="21"/>
          <w:highlight w:val="none"/>
        </w:rPr>
        <w:t>7.2按勘察合同协议书第六条方式支付。</w:t>
      </w:r>
      <w:r>
        <w:rPr>
          <w:rFonts w:hint="eastAsia" w:ascii="宋体" w:hAnsi="宋体" w:eastAsia="宋体" w:cs="宋体"/>
          <w:bCs/>
          <w:color w:val="auto"/>
          <w:sz w:val="21"/>
          <w:szCs w:val="21"/>
          <w:highlight w:val="none"/>
        </w:rPr>
        <w:t>。</w:t>
      </w:r>
    </w:p>
    <w:p w14:paraId="4A05FB9D">
      <w:pPr>
        <w:widowControl w:val="0"/>
        <w:spacing w:after="0"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7.5 本条款删除。</w:t>
      </w:r>
    </w:p>
    <w:p w14:paraId="22755FA9">
      <w:pPr>
        <w:widowControl w:val="0"/>
        <w:spacing w:after="0"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7.6  本款修改为：在合同实施期间，本项目勘察费用不随国家政策或收费标准及市场因素变化进行调整。</w:t>
      </w:r>
    </w:p>
    <w:p w14:paraId="34ACD170">
      <w:pPr>
        <w:widowControl w:val="0"/>
        <w:spacing w:after="0" w:line="40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8、其它</w:t>
      </w:r>
    </w:p>
    <w:p w14:paraId="7659FF67">
      <w:pPr>
        <w:pStyle w:val="14"/>
        <w:spacing w:line="400" w:lineRule="exact"/>
        <w:ind w:firstLine="420" w:firstLineChars="200"/>
        <w:rPr>
          <w:rFonts w:hint="eastAsia" w:hAnsi="宋体" w:cs="宋体"/>
          <w:bCs/>
          <w:color w:val="auto"/>
          <w:sz w:val="21"/>
          <w:szCs w:val="21"/>
          <w:highlight w:val="none"/>
        </w:rPr>
      </w:pPr>
      <w:r>
        <w:rPr>
          <w:rFonts w:hint="eastAsia" w:hAnsi="宋体" w:cs="宋体"/>
          <w:bCs/>
          <w:color w:val="auto"/>
          <w:sz w:val="21"/>
          <w:szCs w:val="21"/>
          <w:highlight w:val="none"/>
        </w:rPr>
        <w:t>8.5  本款末增加“本项目的仲裁机构为</w:t>
      </w:r>
      <w:r>
        <w:rPr>
          <w:rFonts w:hint="eastAsia" w:hAnsi="宋体" w:cs="宋体"/>
          <w:bCs/>
          <w:color w:val="auto"/>
          <w:sz w:val="21"/>
          <w:szCs w:val="21"/>
          <w:highlight w:val="none"/>
          <w:u w:val="single"/>
        </w:rPr>
        <w:t>柳州仲裁委员会”</w:t>
      </w:r>
      <w:r>
        <w:rPr>
          <w:rFonts w:hint="eastAsia" w:hAnsi="宋体" w:cs="宋体"/>
          <w:bCs/>
          <w:color w:val="auto"/>
          <w:sz w:val="21"/>
          <w:szCs w:val="21"/>
          <w:highlight w:val="none"/>
        </w:rPr>
        <w:t>。</w:t>
      </w:r>
    </w:p>
    <w:p w14:paraId="06FE612B">
      <w:pPr>
        <w:pStyle w:val="14"/>
        <w:spacing w:line="400" w:lineRule="exact"/>
        <w:ind w:firstLine="420" w:firstLineChars="200"/>
        <w:rPr>
          <w:rFonts w:hint="eastAsia" w:hAnsi="宋体" w:cs="宋体"/>
          <w:bCs/>
          <w:color w:val="auto"/>
          <w:sz w:val="21"/>
          <w:szCs w:val="21"/>
          <w:highlight w:val="none"/>
        </w:rPr>
      </w:pPr>
    </w:p>
    <w:p w14:paraId="22F12A9D">
      <w:pPr>
        <w:pStyle w:val="14"/>
        <w:spacing w:line="400" w:lineRule="exact"/>
        <w:ind w:firstLine="420" w:firstLineChars="200"/>
        <w:rPr>
          <w:rFonts w:hint="eastAsia" w:hAnsi="宋体" w:cs="宋体"/>
          <w:bCs/>
          <w:color w:val="auto"/>
          <w:sz w:val="21"/>
          <w:szCs w:val="21"/>
          <w:highlight w:val="none"/>
        </w:rPr>
      </w:pPr>
    </w:p>
    <w:p w14:paraId="39AEC33A">
      <w:pPr>
        <w:widowControl w:val="0"/>
        <w:spacing w:after="0" w:line="40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发包人（公章）：                   勘察人（公章）：   </w:t>
      </w:r>
    </w:p>
    <w:p w14:paraId="34C48CE1">
      <w:pPr>
        <w:widowControl w:val="0"/>
        <w:spacing w:after="0" w:line="400" w:lineRule="exact"/>
        <w:rPr>
          <w:rFonts w:hint="eastAsia" w:ascii="宋体" w:hAnsi="宋体" w:eastAsia="宋体" w:cs="宋体"/>
          <w:bCs/>
          <w:color w:val="auto"/>
          <w:sz w:val="21"/>
          <w:szCs w:val="21"/>
          <w:highlight w:val="none"/>
        </w:rPr>
      </w:pPr>
    </w:p>
    <w:p w14:paraId="5881C9CD">
      <w:pPr>
        <w:widowControl w:val="0"/>
        <w:spacing w:after="0" w:line="400" w:lineRule="exact"/>
        <w:rPr>
          <w:rFonts w:hint="eastAsia" w:ascii="宋体" w:hAnsi="宋体" w:eastAsia="宋体" w:cs="宋体"/>
          <w:bCs/>
          <w:color w:val="auto"/>
          <w:sz w:val="21"/>
          <w:szCs w:val="21"/>
          <w:highlight w:val="none"/>
        </w:rPr>
      </w:pPr>
    </w:p>
    <w:p w14:paraId="5CB0A549">
      <w:pPr>
        <w:widowControl w:val="0"/>
        <w:spacing w:after="0" w:line="40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签订日期: </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 xml:space="preserve">年  月  日           签订日期: </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年  月    日</w:t>
      </w:r>
    </w:p>
    <w:p w14:paraId="352B151C">
      <w:pPr>
        <w:widowControl w:val="0"/>
        <w:spacing w:after="0" w:line="400" w:lineRule="exact"/>
        <w:rPr>
          <w:rFonts w:hint="eastAsia" w:ascii="宋体" w:hAnsi="宋体" w:eastAsia="宋体" w:cs="宋体"/>
          <w:bCs/>
          <w:color w:val="auto"/>
          <w:sz w:val="21"/>
          <w:szCs w:val="21"/>
          <w:highlight w:val="none"/>
        </w:rPr>
      </w:pPr>
    </w:p>
    <w:p w14:paraId="076B5FCA">
      <w:pPr>
        <w:widowControl w:val="0"/>
        <w:spacing w:after="0" w:line="400" w:lineRule="exact"/>
        <w:rPr>
          <w:rFonts w:hint="eastAsia" w:ascii="宋体" w:hAnsi="宋体"/>
          <w:bCs/>
          <w:color w:val="auto"/>
          <w:sz w:val="21"/>
          <w:szCs w:val="21"/>
          <w:highlight w:val="none"/>
        </w:rPr>
      </w:pPr>
    </w:p>
    <w:p w14:paraId="38193A5C">
      <w:pPr>
        <w:widowControl w:val="0"/>
        <w:spacing w:after="0" w:line="400" w:lineRule="exact"/>
        <w:rPr>
          <w:rFonts w:hint="eastAsia" w:ascii="宋体" w:hAnsi="宋体"/>
          <w:bCs/>
          <w:color w:val="auto"/>
          <w:sz w:val="21"/>
          <w:szCs w:val="21"/>
          <w:highlight w:val="none"/>
        </w:rPr>
      </w:pPr>
    </w:p>
    <w:p w14:paraId="02AC619C">
      <w:pPr>
        <w:widowControl w:val="0"/>
        <w:spacing w:after="0" w:line="400" w:lineRule="exact"/>
        <w:rPr>
          <w:rFonts w:hint="eastAsia" w:ascii="宋体" w:hAnsi="宋体"/>
          <w:bCs/>
          <w:color w:val="auto"/>
          <w:sz w:val="21"/>
          <w:szCs w:val="21"/>
          <w:highlight w:val="none"/>
        </w:rPr>
      </w:pPr>
    </w:p>
    <w:p w14:paraId="14CFE76A">
      <w:pPr>
        <w:widowControl w:val="0"/>
        <w:spacing w:after="0" w:line="400" w:lineRule="exact"/>
        <w:rPr>
          <w:rFonts w:hint="eastAsia" w:ascii="宋体" w:hAnsi="宋体"/>
          <w:bCs/>
          <w:color w:val="auto"/>
          <w:sz w:val="21"/>
          <w:szCs w:val="21"/>
          <w:highlight w:val="none"/>
        </w:rPr>
      </w:pPr>
    </w:p>
    <w:p w14:paraId="5FF47278">
      <w:pPr>
        <w:widowControl w:val="0"/>
        <w:spacing w:after="0" w:line="400" w:lineRule="exact"/>
        <w:rPr>
          <w:rFonts w:hint="eastAsia" w:ascii="宋体" w:hAnsi="宋体"/>
          <w:bCs/>
          <w:color w:val="auto"/>
          <w:sz w:val="21"/>
          <w:szCs w:val="21"/>
          <w:highlight w:val="none"/>
        </w:rPr>
      </w:pPr>
    </w:p>
    <w:p w14:paraId="06FC2EAF">
      <w:pPr>
        <w:widowControl w:val="0"/>
        <w:spacing w:after="0" w:line="400" w:lineRule="exact"/>
        <w:rPr>
          <w:rFonts w:hint="eastAsia" w:ascii="宋体" w:hAnsi="宋体"/>
          <w:bCs/>
          <w:color w:val="auto"/>
          <w:sz w:val="21"/>
          <w:szCs w:val="21"/>
          <w:highlight w:val="none"/>
        </w:rPr>
      </w:pPr>
    </w:p>
    <w:p w14:paraId="72B64717">
      <w:pPr>
        <w:widowControl w:val="0"/>
        <w:spacing w:after="0" w:line="400" w:lineRule="exact"/>
        <w:rPr>
          <w:rFonts w:hint="eastAsia" w:ascii="宋体" w:hAnsi="宋体"/>
          <w:bCs/>
          <w:color w:val="auto"/>
          <w:sz w:val="21"/>
          <w:szCs w:val="21"/>
          <w:highlight w:val="none"/>
        </w:rPr>
      </w:pPr>
    </w:p>
    <w:p w14:paraId="0AA335C2">
      <w:pPr>
        <w:pStyle w:val="54"/>
        <w:spacing w:line="400" w:lineRule="exact"/>
        <w:jc w:val="left"/>
        <w:rPr>
          <w:rFonts w:ascii="Arial" w:hAnsi="Arial" w:cs="Arial"/>
          <w:bCs/>
          <w:color w:val="auto"/>
          <w:kern w:val="2"/>
          <w:sz w:val="21"/>
          <w:szCs w:val="21"/>
          <w:highlight w:val="none"/>
        </w:rPr>
      </w:pPr>
      <w:bookmarkStart w:id="58" w:name="_Toc267261701"/>
      <w:r>
        <w:rPr>
          <w:rFonts w:hint="eastAsia" w:eastAsia="FangSong_GB2312"/>
          <w:color w:val="auto"/>
          <w:kern w:val="2"/>
          <w:sz w:val="21"/>
          <w:szCs w:val="21"/>
          <w:highlight w:val="none"/>
        </w:rPr>
        <w:t>附</w:t>
      </w:r>
      <w:bookmarkStart w:id="59" w:name="_Toc296891059"/>
      <w:bookmarkStart w:id="60" w:name="_Toc296891271"/>
      <w:bookmarkStart w:id="61" w:name="_Toc296347230"/>
      <w:bookmarkStart w:id="62" w:name="_Toc296944570"/>
      <w:bookmarkStart w:id="63" w:name="_Toc296503231"/>
      <w:bookmarkStart w:id="64" w:name="_Toc296346732"/>
      <w:r>
        <w:rPr>
          <w:rFonts w:hint="eastAsia" w:eastAsia="FangSong_GB2312"/>
          <w:color w:val="auto"/>
          <w:kern w:val="2"/>
          <w:sz w:val="21"/>
          <w:szCs w:val="21"/>
          <w:highlight w:val="none"/>
        </w:rPr>
        <w:t>件1：</w:t>
      </w:r>
      <w:bookmarkEnd w:id="58"/>
      <w:bookmarkEnd w:id="59"/>
      <w:bookmarkEnd w:id="60"/>
      <w:bookmarkEnd w:id="61"/>
      <w:bookmarkEnd w:id="62"/>
      <w:bookmarkEnd w:id="63"/>
      <w:bookmarkEnd w:id="64"/>
    </w:p>
    <w:p w14:paraId="69DB8F03">
      <w:pPr>
        <w:pStyle w:val="54"/>
        <w:tabs>
          <w:tab w:val="left" w:pos="9000"/>
        </w:tabs>
        <w:autoSpaceDE w:val="0"/>
        <w:autoSpaceDN w:val="0"/>
        <w:spacing w:line="400" w:lineRule="exact"/>
        <w:jc w:val="center"/>
        <w:rPr>
          <w:rFonts w:ascii="Arial" w:hAnsi="Arial" w:cs="Arial"/>
          <w:b/>
          <w:color w:val="auto"/>
          <w:kern w:val="2"/>
          <w:sz w:val="36"/>
          <w:szCs w:val="36"/>
          <w:highlight w:val="none"/>
          <w:u w:val="single"/>
        </w:rPr>
      </w:pPr>
      <w:r>
        <w:rPr>
          <w:rFonts w:hint="eastAsia" w:ascii="Arial" w:hAnsi="Arial" w:cs="Arial"/>
          <w:b/>
          <w:color w:val="auto"/>
          <w:kern w:val="2"/>
          <w:sz w:val="36"/>
          <w:szCs w:val="36"/>
          <w:highlight w:val="none"/>
          <w:u w:val="single"/>
        </w:rPr>
        <w:t>履约担保（即付保函）（范本）</w:t>
      </w:r>
    </w:p>
    <w:p w14:paraId="799B722B">
      <w:pPr>
        <w:widowControl w:val="0"/>
        <w:spacing w:after="0" w:line="400" w:lineRule="exact"/>
        <w:rPr>
          <w:rFonts w:hint="default" w:ascii="Arial" w:hAnsi="Arial" w:eastAsia="宋体" w:cs="Arial"/>
          <w:color w:val="auto"/>
          <w:sz w:val="21"/>
          <w:szCs w:val="21"/>
          <w:highlight w:val="none"/>
          <w:u w:val="single"/>
          <w:lang w:val="en-US" w:eastAsia="zh-CN"/>
        </w:rPr>
      </w:pPr>
      <w:r>
        <w:rPr>
          <w:rFonts w:hint="eastAsia" w:ascii="宋体" w:hAnsi="宋体" w:cs="宋体"/>
          <w:color w:val="auto"/>
          <w:sz w:val="21"/>
          <w:szCs w:val="21"/>
          <w:highlight w:val="none"/>
        </w:rPr>
        <w:t>致：</w:t>
      </w:r>
      <w:r>
        <w:rPr>
          <w:rFonts w:hint="eastAsia" w:ascii="宋体" w:hAnsi="宋体" w:cs="宋体"/>
          <w:color w:val="auto"/>
          <w:sz w:val="21"/>
          <w:szCs w:val="21"/>
          <w:highlight w:val="none"/>
          <w:u w:val="single"/>
          <w:lang w:val="en-US" w:eastAsia="zh-CN"/>
        </w:rPr>
        <w:t xml:space="preserve">                      </w:t>
      </w:r>
    </w:p>
    <w:p w14:paraId="797B9C65">
      <w:pPr>
        <w:widowControl w:val="0"/>
        <w:spacing w:after="0" w:line="400" w:lineRule="exact"/>
        <w:ind w:firstLine="420" w:firstLineChars="200"/>
        <w:rPr>
          <w:rFonts w:ascii="宋体" w:hAnsi="宋体"/>
          <w:b/>
          <w:color w:val="auto"/>
          <w:sz w:val="21"/>
          <w:szCs w:val="21"/>
          <w:highlight w:val="none"/>
          <w:u w:val="single"/>
        </w:rPr>
      </w:pPr>
      <w:r>
        <w:rPr>
          <w:rFonts w:ascii="宋体" w:hAnsi="宋体"/>
          <w:color w:val="auto"/>
          <w:sz w:val="21"/>
          <w:szCs w:val="21"/>
          <w:highlight w:val="none"/>
        </w:rPr>
        <w:t>鉴于</w:t>
      </w:r>
      <w:r>
        <w:rPr>
          <w:rFonts w:hint="eastAsia" w:ascii="宋体" w:hAnsi="宋体"/>
          <w:b/>
          <w:color w:val="auto"/>
          <w:sz w:val="21"/>
          <w:szCs w:val="21"/>
          <w:highlight w:val="none"/>
          <w:u w:val="single"/>
        </w:rPr>
        <w:t xml:space="preserve">              </w:t>
      </w:r>
      <w:r>
        <w:rPr>
          <w:rFonts w:ascii="宋体" w:hAnsi="宋体"/>
          <w:color w:val="auto"/>
          <w:sz w:val="21"/>
          <w:szCs w:val="21"/>
          <w:highlight w:val="none"/>
        </w:rPr>
        <w:t>（发包人名称，以下简称“发包人”）与</w:t>
      </w:r>
      <w:r>
        <w:rPr>
          <w:rFonts w:hint="eastAsia" w:ascii="宋体" w:hAnsi="宋体"/>
          <w:b/>
          <w:color w:val="auto"/>
          <w:sz w:val="21"/>
          <w:szCs w:val="21"/>
          <w:highlight w:val="none"/>
          <w:u w:val="single"/>
        </w:rPr>
        <w:t xml:space="preserve">                    </w:t>
      </w:r>
    </w:p>
    <w:p w14:paraId="779C0E87">
      <w:pPr>
        <w:widowControl w:val="0"/>
        <w:spacing w:after="0" w:line="400" w:lineRule="exact"/>
        <w:rPr>
          <w:rFonts w:ascii="宋体" w:hAnsi="宋体"/>
          <w:color w:val="auto"/>
          <w:sz w:val="21"/>
          <w:szCs w:val="21"/>
          <w:highlight w:val="none"/>
        </w:rPr>
      </w:pPr>
      <w:r>
        <w:rPr>
          <w:rFonts w:ascii="宋体" w:hAnsi="宋体"/>
          <w:color w:val="auto"/>
          <w:sz w:val="21"/>
          <w:szCs w:val="21"/>
          <w:highlight w:val="none"/>
        </w:rPr>
        <w:t>（承包人名称</w:t>
      </w:r>
      <w:r>
        <w:rPr>
          <w:rFonts w:hint="eastAsia" w:ascii="宋体" w:hAnsi="宋体"/>
          <w:color w:val="auto"/>
          <w:sz w:val="21"/>
          <w:szCs w:val="21"/>
          <w:highlight w:val="none"/>
        </w:rPr>
        <w:t>，</w:t>
      </w:r>
      <w:r>
        <w:rPr>
          <w:rFonts w:ascii="宋体" w:hAnsi="宋体"/>
          <w:color w:val="auto"/>
          <w:sz w:val="21"/>
          <w:szCs w:val="21"/>
          <w:highlight w:val="none"/>
        </w:rPr>
        <w:t>以下</w:t>
      </w:r>
      <w:r>
        <w:rPr>
          <w:rFonts w:hint="eastAsia" w:ascii="宋体" w:hAnsi="宋体"/>
          <w:color w:val="auto"/>
          <w:sz w:val="21"/>
          <w:szCs w:val="21"/>
          <w:highlight w:val="none"/>
        </w:rPr>
        <w:t>简</w:t>
      </w:r>
      <w:r>
        <w:rPr>
          <w:rFonts w:ascii="宋体" w:hAnsi="宋体"/>
          <w:color w:val="auto"/>
          <w:sz w:val="21"/>
          <w:szCs w:val="21"/>
          <w:highlight w:val="none"/>
        </w:rPr>
        <w:t>称“承包人”）于</w:t>
      </w:r>
      <w:r>
        <w:rPr>
          <w:rFonts w:hint="eastAsia" w:ascii="宋体" w:hAnsi="宋体"/>
          <w:b/>
          <w:color w:val="auto"/>
          <w:sz w:val="21"/>
          <w:szCs w:val="21"/>
          <w:highlight w:val="none"/>
          <w:u w:val="single"/>
        </w:rPr>
        <w:t xml:space="preserve">   </w:t>
      </w:r>
      <w:r>
        <w:rPr>
          <w:rFonts w:ascii="宋体" w:hAnsi="宋体"/>
          <w:color w:val="auto"/>
          <w:sz w:val="21"/>
          <w:szCs w:val="21"/>
          <w:highlight w:val="none"/>
        </w:rPr>
        <w:t>年</w:t>
      </w:r>
      <w:r>
        <w:rPr>
          <w:rFonts w:hint="eastAsia" w:ascii="宋体" w:hAnsi="宋体"/>
          <w:b/>
          <w:color w:val="auto"/>
          <w:sz w:val="21"/>
          <w:szCs w:val="21"/>
          <w:highlight w:val="none"/>
          <w:u w:val="single"/>
        </w:rPr>
        <w:t xml:space="preserve">    </w:t>
      </w:r>
      <w:r>
        <w:rPr>
          <w:rFonts w:ascii="宋体" w:hAnsi="宋体"/>
          <w:color w:val="auto"/>
          <w:sz w:val="21"/>
          <w:szCs w:val="21"/>
          <w:highlight w:val="none"/>
        </w:rPr>
        <w:t>月</w:t>
      </w:r>
      <w:r>
        <w:rPr>
          <w:rFonts w:hint="eastAsia" w:ascii="宋体" w:hAnsi="宋体"/>
          <w:b/>
          <w:color w:val="auto"/>
          <w:sz w:val="21"/>
          <w:szCs w:val="21"/>
          <w:highlight w:val="none"/>
          <w:u w:val="single"/>
        </w:rPr>
        <w:t xml:space="preserve">    </w:t>
      </w:r>
      <w:r>
        <w:rPr>
          <w:rFonts w:ascii="宋体" w:hAnsi="宋体"/>
          <w:color w:val="auto"/>
          <w:sz w:val="21"/>
          <w:szCs w:val="21"/>
          <w:highlight w:val="none"/>
        </w:rPr>
        <w:t>日协商一致共同签订《</w:t>
      </w:r>
      <w:r>
        <w:rPr>
          <w:rFonts w:hint="eastAsia" w:ascii="宋体" w:hAnsi="宋体"/>
          <w:b/>
          <w:color w:val="auto"/>
          <w:sz w:val="21"/>
          <w:szCs w:val="21"/>
          <w:highlight w:val="none"/>
          <w:u w:val="single"/>
        </w:rPr>
        <w:t xml:space="preserve">                   </w:t>
      </w:r>
      <w:r>
        <w:rPr>
          <w:rFonts w:ascii="宋体" w:hAnsi="宋体"/>
          <w:color w:val="auto"/>
          <w:sz w:val="21"/>
          <w:szCs w:val="21"/>
          <w:highlight w:val="none"/>
          <w:u w:val="single"/>
        </w:rPr>
        <w:t>合同</w:t>
      </w:r>
      <w:r>
        <w:rPr>
          <w:rFonts w:ascii="宋体" w:hAnsi="宋体"/>
          <w:color w:val="auto"/>
          <w:sz w:val="21"/>
          <w:szCs w:val="21"/>
          <w:highlight w:val="none"/>
        </w:rPr>
        <w:t>》</w:t>
      </w:r>
      <w:r>
        <w:rPr>
          <w:rFonts w:hint="eastAsia" w:ascii="宋体" w:hAnsi="宋体"/>
          <w:color w:val="auto"/>
          <w:sz w:val="21"/>
          <w:szCs w:val="21"/>
          <w:highlight w:val="none"/>
        </w:rPr>
        <w:t>（以下简称“合同”）</w:t>
      </w:r>
      <w:r>
        <w:rPr>
          <w:rFonts w:ascii="宋体" w:hAnsi="宋体"/>
          <w:color w:val="auto"/>
          <w:sz w:val="21"/>
          <w:szCs w:val="21"/>
          <w:highlight w:val="none"/>
        </w:rPr>
        <w:t>。</w:t>
      </w:r>
      <w:r>
        <w:rPr>
          <w:rFonts w:ascii="Arial" w:hAnsi="Arial" w:cs="Arial"/>
          <w:color w:val="auto"/>
          <w:sz w:val="21"/>
          <w:szCs w:val="21"/>
          <w:highlight w:val="none"/>
        </w:rPr>
        <w:t>根据该合同的规定，承包</w:t>
      </w:r>
      <w:r>
        <w:rPr>
          <w:rFonts w:hint="eastAsia" w:ascii="Arial" w:hAnsi="Arial" w:cs="Arial"/>
          <w:color w:val="auto"/>
          <w:sz w:val="21"/>
          <w:szCs w:val="21"/>
          <w:highlight w:val="none"/>
        </w:rPr>
        <w:t>人</w:t>
      </w:r>
      <w:r>
        <w:rPr>
          <w:rFonts w:ascii="Arial" w:hAnsi="Arial" w:cs="Arial"/>
          <w:color w:val="auto"/>
          <w:sz w:val="21"/>
          <w:szCs w:val="21"/>
          <w:highlight w:val="none"/>
        </w:rPr>
        <w:t>需向</w:t>
      </w:r>
      <w:r>
        <w:rPr>
          <w:rFonts w:hint="eastAsia" w:ascii="Arial" w:hAnsi="Arial" w:cs="Arial"/>
          <w:color w:val="auto"/>
          <w:sz w:val="21"/>
          <w:szCs w:val="21"/>
          <w:highlight w:val="none"/>
        </w:rPr>
        <w:t>发包人</w:t>
      </w:r>
      <w:r>
        <w:rPr>
          <w:rFonts w:ascii="Arial" w:hAnsi="Arial" w:cs="Arial"/>
          <w:color w:val="auto"/>
          <w:sz w:val="21"/>
          <w:szCs w:val="21"/>
          <w:highlight w:val="none"/>
        </w:rPr>
        <w:t>提供一份履约保函保证其将按合同规定及要求履行约定的义务及责任</w:t>
      </w:r>
      <w:r>
        <w:rPr>
          <w:rFonts w:ascii="Arial" w:hAnsi="Arial" w:cs="Arial"/>
          <w:color w:val="auto"/>
          <w:sz w:val="21"/>
          <w:szCs w:val="21"/>
          <w:highlight w:val="none"/>
          <w:lang w:val="en-GB"/>
        </w:rPr>
        <w:t>。</w:t>
      </w:r>
    </w:p>
    <w:p w14:paraId="59935466">
      <w:pPr>
        <w:widowControl w:val="0"/>
        <w:spacing w:after="0" w:line="400" w:lineRule="exact"/>
        <w:ind w:firstLine="420" w:firstLineChars="200"/>
        <w:rPr>
          <w:rFonts w:ascii="Arial" w:hAnsi="Arial" w:cs="Arial"/>
          <w:color w:val="auto"/>
          <w:sz w:val="21"/>
          <w:szCs w:val="21"/>
          <w:highlight w:val="none"/>
        </w:rPr>
      </w:pPr>
      <w:r>
        <w:rPr>
          <w:rFonts w:ascii="Arial" w:hAnsi="Arial" w:cs="Arial"/>
          <w:color w:val="auto"/>
          <w:sz w:val="21"/>
          <w:szCs w:val="21"/>
          <w:highlight w:val="none"/>
        </w:rPr>
        <w:t>又鉴于我方，即担保人</w:t>
      </w:r>
      <w:r>
        <w:rPr>
          <w:rFonts w:hint="eastAsia" w:ascii="Arial" w:hAnsi="Arial" w:cs="Arial"/>
          <w:color w:val="auto"/>
          <w:sz w:val="21"/>
          <w:szCs w:val="21"/>
          <w:highlight w:val="none"/>
        </w:rPr>
        <w:t>，</w:t>
      </w:r>
      <w:r>
        <w:rPr>
          <w:rFonts w:ascii="Arial" w:hAnsi="Arial" w:cs="Arial"/>
          <w:color w:val="auto"/>
          <w:sz w:val="21"/>
          <w:szCs w:val="21"/>
          <w:highlight w:val="none"/>
        </w:rPr>
        <w:t>接受</w:t>
      </w:r>
      <w:r>
        <w:rPr>
          <w:rFonts w:hint="eastAsia" w:ascii="Arial" w:hAnsi="Arial" w:cs="Arial"/>
          <w:color w:val="auto"/>
          <w:sz w:val="21"/>
          <w:szCs w:val="21"/>
          <w:highlight w:val="none"/>
        </w:rPr>
        <w:t>承包人</w:t>
      </w:r>
      <w:r>
        <w:rPr>
          <w:rFonts w:ascii="Arial" w:hAnsi="Arial" w:cs="Arial"/>
          <w:color w:val="auto"/>
          <w:sz w:val="21"/>
          <w:szCs w:val="21"/>
          <w:highlight w:val="none"/>
        </w:rPr>
        <w:t>的委托，同意按下述条款以总金额人民币</w:t>
      </w:r>
      <w:r>
        <w:rPr>
          <w:rFonts w:hint="eastAsia" w:ascii="Arial" w:hAnsi="Arial" w:cs="Arial"/>
          <w:color w:val="auto"/>
          <w:sz w:val="21"/>
          <w:szCs w:val="21"/>
          <w:highlight w:val="none"/>
        </w:rPr>
        <w:t>（大写）</w:t>
      </w:r>
      <w:r>
        <w:rPr>
          <w:rFonts w:ascii="Arial" w:hAnsi="Arial" w:cs="Arial"/>
          <w:color w:val="auto"/>
          <w:sz w:val="21"/>
          <w:szCs w:val="21"/>
          <w:highlight w:val="none"/>
        </w:rPr>
        <w:t>元（“保证金额”），对</w:t>
      </w:r>
      <w:r>
        <w:rPr>
          <w:rFonts w:hint="eastAsia" w:ascii="Arial" w:hAnsi="Arial" w:cs="Arial"/>
          <w:color w:val="auto"/>
          <w:sz w:val="21"/>
          <w:szCs w:val="21"/>
          <w:highlight w:val="none"/>
        </w:rPr>
        <w:t>承包人</w:t>
      </w:r>
      <w:r>
        <w:rPr>
          <w:rFonts w:ascii="Arial" w:hAnsi="Arial" w:cs="Arial"/>
          <w:color w:val="auto"/>
          <w:sz w:val="21"/>
          <w:szCs w:val="21"/>
          <w:highlight w:val="none"/>
        </w:rPr>
        <w:t>根据合同履行全部约定的义务和责任向你方承担连续的、不可撤销的、无条件的担保：</w:t>
      </w:r>
    </w:p>
    <w:p w14:paraId="3B5787B2">
      <w:pPr>
        <w:pStyle w:val="35"/>
        <w:numPr>
          <w:ilvl w:val="0"/>
          <w:numId w:val="10"/>
        </w:numPr>
        <w:spacing w:line="400" w:lineRule="exact"/>
        <w:ind w:firstLineChars="0"/>
        <w:rPr>
          <w:rFonts w:ascii="宋体" w:hAnsi="宋体"/>
          <w:color w:val="auto"/>
          <w:szCs w:val="21"/>
          <w:highlight w:val="none"/>
        </w:rPr>
      </w:pPr>
      <w:r>
        <w:rPr>
          <w:rFonts w:ascii="宋体" w:hAnsi="宋体"/>
          <w:color w:val="auto"/>
          <w:szCs w:val="21"/>
          <w:highlight w:val="none"/>
        </w:rPr>
        <w:t>担保有效期自你方与承包人签订的合同生效之日起至你方签发或应签发工程接收证书之日止。</w:t>
      </w:r>
    </w:p>
    <w:p w14:paraId="33A11CCC">
      <w:pPr>
        <w:pStyle w:val="35"/>
        <w:numPr>
          <w:ilvl w:val="0"/>
          <w:numId w:val="10"/>
        </w:numPr>
        <w:spacing w:line="400" w:lineRule="exact"/>
        <w:ind w:firstLineChars="0"/>
        <w:rPr>
          <w:rFonts w:ascii="宋体" w:hAnsi="宋体"/>
          <w:color w:val="auto"/>
          <w:szCs w:val="21"/>
          <w:highlight w:val="none"/>
        </w:rPr>
      </w:pPr>
      <w:r>
        <w:rPr>
          <w:rFonts w:ascii="宋体" w:hAnsi="宋体"/>
          <w:color w:val="auto"/>
          <w:szCs w:val="21"/>
          <w:highlight w:val="none"/>
        </w:rPr>
        <w:t>在我方收到你方的书面的付款赔偿要求就如下事项的书面说明后,于28天内</w:t>
      </w:r>
      <w:r>
        <w:rPr>
          <w:rFonts w:hint="eastAsia" w:ascii="宋体" w:hAnsi="宋体"/>
          <w:color w:val="auto"/>
          <w:szCs w:val="21"/>
          <w:highlight w:val="none"/>
        </w:rPr>
        <w:t>无条件</w:t>
      </w:r>
      <w:r>
        <w:rPr>
          <w:rFonts w:ascii="宋体" w:hAnsi="宋体"/>
          <w:color w:val="auto"/>
          <w:szCs w:val="21"/>
          <w:highlight w:val="none"/>
        </w:rPr>
        <w:t>向你方支付总额不超过保证金额的任何一笔或几笔款项：</w:t>
      </w:r>
    </w:p>
    <w:p w14:paraId="6B21576D">
      <w:pPr>
        <w:pStyle w:val="35"/>
        <w:numPr>
          <w:ilvl w:val="1"/>
          <w:numId w:val="10"/>
        </w:numPr>
        <w:spacing w:line="400" w:lineRule="exact"/>
        <w:ind w:firstLineChars="0"/>
        <w:rPr>
          <w:rFonts w:ascii="宋体" w:hAnsi="宋体"/>
          <w:color w:val="auto"/>
          <w:szCs w:val="21"/>
          <w:highlight w:val="none"/>
        </w:rPr>
      </w:pPr>
      <w:r>
        <w:rPr>
          <w:rFonts w:ascii="宋体" w:hAnsi="宋体"/>
          <w:color w:val="auto"/>
          <w:szCs w:val="21"/>
          <w:highlight w:val="none"/>
        </w:rPr>
        <w:t>承包</w:t>
      </w:r>
      <w:r>
        <w:rPr>
          <w:rFonts w:hint="eastAsia" w:ascii="宋体" w:hAnsi="宋体"/>
          <w:color w:val="auto"/>
          <w:szCs w:val="21"/>
          <w:highlight w:val="none"/>
        </w:rPr>
        <w:t>人</w:t>
      </w:r>
      <w:r>
        <w:rPr>
          <w:rFonts w:ascii="宋体" w:hAnsi="宋体"/>
          <w:color w:val="auto"/>
          <w:szCs w:val="21"/>
          <w:highlight w:val="none"/>
        </w:rPr>
        <w:t>违反合同约定的义务及责任，以及</w:t>
      </w:r>
    </w:p>
    <w:p w14:paraId="47E18EDF">
      <w:pPr>
        <w:pStyle w:val="35"/>
        <w:numPr>
          <w:ilvl w:val="1"/>
          <w:numId w:val="10"/>
        </w:numPr>
        <w:spacing w:line="400" w:lineRule="exact"/>
        <w:ind w:firstLineChars="0"/>
        <w:rPr>
          <w:rFonts w:ascii="宋体" w:hAnsi="宋体"/>
          <w:color w:val="auto"/>
          <w:szCs w:val="21"/>
          <w:highlight w:val="none"/>
        </w:rPr>
      </w:pPr>
      <w:r>
        <w:rPr>
          <w:rFonts w:ascii="宋体" w:hAnsi="宋体"/>
          <w:color w:val="auto"/>
          <w:szCs w:val="21"/>
          <w:highlight w:val="none"/>
        </w:rPr>
        <w:t>承包</w:t>
      </w:r>
      <w:r>
        <w:rPr>
          <w:rFonts w:hint="eastAsia" w:ascii="宋体" w:hAnsi="宋体"/>
          <w:color w:val="auto"/>
          <w:szCs w:val="21"/>
          <w:highlight w:val="none"/>
        </w:rPr>
        <w:t>人</w:t>
      </w:r>
      <w:r>
        <w:rPr>
          <w:rFonts w:ascii="宋体" w:hAnsi="宋体"/>
          <w:color w:val="auto"/>
          <w:szCs w:val="21"/>
          <w:highlight w:val="none"/>
        </w:rPr>
        <w:t>违反的事项。</w:t>
      </w:r>
    </w:p>
    <w:p w14:paraId="6E4F70CA">
      <w:pPr>
        <w:pStyle w:val="35"/>
        <w:numPr>
          <w:ilvl w:val="0"/>
          <w:numId w:val="10"/>
        </w:numPr>
        <w:spacing w:line="400" w:lineRule="exact"/>
        <w:ind w:firstLineChars="0"/>
        <w:rPr>
          <w:rFonts w:ascii="宋体" w:hAnsi="宋体"/>
          <w:color w:val="auto"/>
          <w:szCs w:val="21"/>
          <w:highlight w:val="none"/>
        </w:rPr>
      </w:pPr>
      <w:r>
        <w:rPr>
          <w:rFonts w:ascii="Arial" w:hAnsi="Arial" w:cs="Arial"/>
          <w:color w:val="auto"/>
          <w:szCs w:val="21"/>
          <w:highlight w:val="none"/>
        </w:rPr>
        <w:t>你方和承包人按合同约定变更合同时</w:t>
      </w:r>
      <w:r>
        <w:rPr>
          <w:rFonts w:ascii="宋体" w:hAnsi="宋体"/>
          <w:color w:val="auto"/>
          <w:szCs w:val="21"/>
          <w:highlight w:val="none"/>
        </w:rPr>
        <w:t>，</w:t>
      </w:r>
      <w:r>
        <w:rPr>
          <w:rFonts w:hint="eastAsia" w:ascii="宋体" w:hAnsi="宋体"/>
          <w:color w:val="auto"/>
          <w:szCs w:val="21"/>
          <w:highlight w:val="none"/>
        </w:rPr>
        <w:t>无需另行通知我方，而无论我方对该变更是否知悉，我方接受本工程变更后的条款内容，且</w:t>
      </w:r>
      <w:r>
        <w:rPr>
          <w:rFonts w:ascii="宋体" w:hAnsi="宋体"/>
          <w:color w:val="auto"/>
          <w:szCs w:val="21"/>
          <w:highlight w:val="none"/>
        </w:rPr>
        <w:t>我方</w:t>
      </w:r>
      <w:r>
        <w:rPr>
          <w:rFonts w:ascii="Arial" w:hAnsi="Arial" w:cs="Arial"/>
          <w:color w:val="auto"/>
          <w:szCs w:val="21"/>
          <w:highlight w:val="none"/>
        </w:rPr>
        <w:t>承担本担保规定的义务不变。</w:t>
      </w:r>
    </w:p>
    <w:p w14:paraId="17A7FD83">
      <w:pPr>
        <w:pStyle w:val="35"/>
        <w:numPr>
          <w:ilvl w:val="0"/>
          <w:numId w:val="10"/>
        </w:numPr>
        <w:spacing w:line="400" w:lineRule="exact"/>
        <w:ind w:firstLineChars="0"/>
        <w:rPr>
          <w:rFonts w:ascii="宋体" w:hAnsi="宋体"/>
          <w:color w:val="auto"/>
          <w:szCs w:val="21"/>
          <w:highlight w:val="none"/>
        </w:rPr>
      </w:pPr>
      <w:r>
        <w:rPr>
          <w:rFonts w:ascii="宋体" w:hAnsi="宋体"/>
          <w:color w:val="auto"/>
          <w:szCs w:val="21"/>
          <w:highlight w:val="none"/>
        </w:rPr>
        <w:t>因本保函发生的纠纷，可由双方协商解决，协商不成的，任何一方均可提请</w:t>
      </w:r>
      <w:r>
        <w:rPr>
          <w:rFonts w:hint="eastAsia" w:ascii="宋体" w:hAnsi="宋体"/>
          <w:color w:val="auto"/>
          <w:szCs w:val="21"/>
          <w:highlight w:val="none"/>
          <w:u w:val="single"/>
        </w:rPr>
        <w:t>柳州市</w:t>
      </w:r>
      <w:r>
        <w:rPr>
          <w:rFonts w:ascii="宋体" w:hAnsi="宋体"/>
          <w:color w:val="auto"/>
          <w:szCs w:val="21"/>
          <w:highlight w:val="none"/>
        </w:rPr>
        <w:t>仲裁委员会仲裁。</w:t>
      </w:r>
    </w:p>
    <w:p w14:paraId="75420FAE">
      <w:pPr>
        <w:pStyle w:val="35"/>
        <w:numPr>
          <w:ilvl w:val="0"/>
          <w:numId w:val="10"/>
        </w:numPr>
        <w:spacing w:line="400" w:lineRule="exact"/>
        <w:ind w:firstLineChars="0"/>
        <w:rPr>
          <w:rFonts w:ascii="宋体" w:hAnsi="宋体"/>
          <w:color w:val="auto"/>
          <w:szCs w:val="21"/>
          <w:highlight w:val="none"/>
        </w:rPr>
      </w:pPr>
      <w:r>
        <w:rPr>
          <w:rFonts w:ascii="宋体" w:hAnsi="宋体"/>
          <w:color w:val="auto"/>
          <w:szCs w:val="21"/>
          <w:highlight w:val="none"/>
        </w:rPr>
        <w:t>本保函自我方法定代表人（或其授权代理人）签字并加盖公章之日起生效。</w:t>
      </w:r>
    </w:p>
    <w:p w14:paraId="165C1C1A">
      <w:pPr>
        <w:widowControl w:val="0"/>
        <w:tabs>
          <w:tab w:val="left" w:pos="4320"/>
        </w:tabs>
        <w:autoSpaceDE w:val="0"/>
        <w:autoSpaceDN w:val="0"/>
        <w:spacing w:after="0" w:line="400" w:lineRule="exact"/>
        <w:rPr>
          <w:rFonts w:ascii="Arial" w:hAnsi="Arial" w:cs="Arial"/>
          <w:color w:val="auto"/>
          <w:sz w:val="21"/>
          <w:szCs w:val="21"/>
          <w:highlight w:val="none"/>
        </w:rPr>
      </w:pPr>
      <w:r>
        <w:rPr>
          <w:rFonts w:ascii="Arial" w:hAnsi="Arial" w:cs="Arial"/>
          <w:color w:val="auto"/>
          <w:sz w:val="21"/>
          <w:szCs w:val="21"/>
          <w:highlight w:val="none"/>
        </w:rPr>
        <w:t>本担保于</w:t>
      </w:r>
      <w:r>
        <w:rPr>
          <w:rFonts w:hint="eastAsia" w:ascii="Arial" w:hAnsi="Arial" w:cs="Arial"/>
          <w:b/>
          <w:color w:val="auto"/>
          <w:sz w:val="21"/>
          <w:szCs w:val="21"/>
          <w:highlight w:val="none"/>
          <w:u w:val="single"/>
        </w:rPr>
        <w:t xml:space="preserve">     </w:t>
      </w:r>
      <w:r>
        <w:rPr>
          <w:rFonts w:ascii="Arial" w:hAnsi="Arial" w:cs="Arial"/>
          <w:color w:val="auto"/>
          <w:sz w:val="21"/>
          <w:szCs w:val="21"/>
          <w:highlight w:val="none"/>
        </w:rPr>
        <w:t>年</w:t>
      </w:r>
      <w:r>
        <w:rPr>
          <w:rFonts w:hint="eastAsia" w:ascii="Arial" w:hAnsi="Arial" w:cs="Arial"/>
          <w:b/>
          <w:color w:val="auto"/>
          <w:sz w:val="21"/>
          <w:szCs w:val="21"/>
          <w:highlight w:val="none"/>
          <w:u w:val="single"/>
        </w:rPr>
        <w:t xml:space="preserve">     </w:t>
      </w:r>
      <w:r>
        <w:rPr>
          <w:rFonts w:ascii="Arial" w:hAnsi="Arial" w:cs="Arial"/>
          <w:color w:val="auto"/>
          <w:sz w:val="21"/>
          <w:szCs w:val="21"/>
          <w:highlight w:val="none"/>
        </w:rPr>
        <w:t>月</w:t>
      </w:r>
      <w:r>
        <w:rPr>
          <w:rFonts w:hint="eastAsia" w:ascii="Arial" w:hAnsi="Arial" w:cs="Arial"/>
          <w:b/>
          <w:color w:val="auto"/>
          <w:sz w:val="21"/>
          <w:szCs w:val="21"/>
          <w:highlight w:val="none"/>
          <w:u w:val="single"/>
        </w:rPr>
        <w:t xml:space="preserve">      </w:t>
      </w:r>
      <w:r>
        <w:rPr>
          <w:rFonts w:ascii="Arial" w:hAnsi="Arial" w:cs="Arial"/>
          <w:color w:val="auto"/>
          <w:sz w:val="21"/>
          <w:szCs w:val="21"/>
          <w:highlight w:val="none"/>
        </w:rPr>
        <w:t>日签署及盖章</w:t>
      </w:r>
      <w:r>
        <w:rPr>
          <w:rFonts w:hint="eastAsia" w:ascii="Arial" w:hAnsi="Arial" w:cs="Arial"/>
          <w:color w:val="auto"/>
          <w:sz w:val="21"/>
          <w:szCs w:val="21"/>
          <w:highlight w:val="none"/>
        </w:rPr>
        <w:t>。</w:t>
      </w:r>
    </w:p>
    <w:p w14:paraId="31BE636E">
      <w:pPr>
        <w:widowControl w:val="0"/>
        <w:spacing w:after="0" w:line="400" w:lineRule="exact"/>
        <w:rPr>
          <w:rFonts w:ascii="宋体" w:hAnsi="宋体"/>
          <w:b/>
          <w:color w:val="auto"/>
          <w:sz w:val="21"/>
          <w:szCs w:val="21"/>
          <w:highlight w:val="none"/>
          <w:u w:val="single"/>
        </w:rPr>
      </w:pPr>
      <w:r>
        <w:rPr>
          <w:rFonts w:ascii="宋体" w:hAnsi="宋体"/>
          <w:color w:val="auto"/>
          <w:sz w:val="21"/>
          <w:szCs w:val="21"/>
          <w:highlight w:val="none"/>
        </w:rPr>
        <w:t>担 保 人：</w:t>
      </w:r>
      <w:r>
        <w:rPr>
          <w:rFonts w:hint="eastAsia" w:ascii="宋体" w:hAnsi="宋体"/>
          <w:b/>
          <w:color w:val="auto"/>
          <w:sz w:val="21"/>
          <w:szCs w:val="21"/>
          <w:highlight w:val="none"/>
          <w:u w:val="single"/>
        </w:rPr>
        <w:t xml:space="preserve">                   </w:t>
      </w:r>
      <w:r>
        <w:rPr>
          <w:rFonts w:ascii="宋体" w:hAnsi="宋体"/>
          <w:color w:val="auto"/>
          <w:sz w:val="21"/>
          <w:szCs w:val="21"/>
          <w:highlight w:val="none"/>
          <w:u w:val="single"/>
        </w:rPr>
        <w:t>（</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盖单位章）</w:t>
      </w:r>
      <w:r>
        <w:rPr>
          <w:rFonts w:hint="eastAsia" w:ascii="宋体" w:hAnsi="宋体"/>
          <w:color w:val="auto"/>
          <w:sz w:val="21"/>
          <w:szCs w:val="21"/>
          <w:highlight w:val="none"/>
          <w:u w:val="single"/>
        </w:rPr>
        <w:t xml:space="preserve">   </w:t>
      </w:r>
      <w:r>
        <w:rPr>
          <w:rFonts w:hint="eastAsia" w:ascii="宋体" w:hAnsi="宋体"/>
          <w:b/>
          <w:color w:val="auto"/>
          <w:sz w:val="21"/>
          <w:szCs w:val="21"/>
          <w:highlight w:val="none"/>
          <w:u w:val="single"/>
        </w:rPr>
        <w:t xml:space="preserve">      </w:t>
      </w:r>
    </w:p>
    <w:p w14:paraId="6AA75A35">
      <w:pPr>
        <w:widowControl w:val="0"/>
        <w:spacing w:after="0" w:line="400" w:lineRule="exact"/>
        <w:rPr>
          <w:rFonts w:ascii="宋体" w:hAnsi="宋体"/>
          <w:color w:val="auto"/>
          <w:sz w:val="21"/>
          <w:szCs w:val="21"/>
          <w:highlight w:val="none"/>
        </w:rPr>
      </w:pPr>
      <w:r>
        <w:rPr>
          <w:rFonts w:ascii="宋体" w:hAnsi="宋体"/>
          <w:color w:val="auto"/>
          <w:sz w:val="21"/>
          <w:szCs w:val="21"/>
          <w:highlight w:val="none"/>
        </w:rPr>
        <w:t>法定代表人或其委托代理人：</w:t>
      </w:r>
      <w:r>
        <w:rPr>
          <w:rFonts w:hint="eastAsia" w:ascii="宋体" w:hAnsi="宋体"/>
          <w:b/>
          <w:color w:val="auto"/>
          <w:sz w:val="21"/>
          <w:szCs w:val="21"/>
          <w:highlight w:val="none"/>
          <w:u w:val="single"/>
        </w:rPr>
        <w:t xml:space="preserve">           </w:t>
      </w:r>
      <w:r>
        <w:rPr>
          <w:rFonts w:ascii="宋体" w:hAnsi="宋体"/>
          <w:color w:val="auto"/>
          <w:sz w:val="21"/>
          <w:szCs w:val="21"/>
          <w:highlight w:val="none"/>
          <w:u w:val="single"/>
        </w:rPr>
        <w:t>（签字）</w:t>
      </w:r>
      <w:r>
        <w:rPr>
          <w:rFonts w:hint="eastAsia" w:ascii="宋体" w:hAnsi="宋体"/>
          <w:b/>
          <w:color w:val="auto"/>
          <w:sz w:val="21"/>
          <w:szCs w:val="21"/>
          <w:highlight w:val="none"/>
          <w:u w:val="single"/>
        </w:rPr>
        <w:t xml:space="preserve">             </w:t>
      </w:r>
    </w:p>
    <w:p w14:paraId="18A1B6F1">
      <w:pPr>
        <w:widowControl w:val="0"/>
        <w:spacing w:after="0" w:line="400" w:lineRule="exact"/>
        <w:rPr>
          <w:rFonts w:ascii="宋体" w:hAnsi="宋体"/>
          <w:b/>
          <w:color w:val="auto"/>
          <w:sz w:val="21"/>
          <w:szCs w:val="21"/>
          <w:highlight w:val="none"/>
          <w:u w:val="single"/>
        </w:rPr>
      </w:pPr>
      <w:r>
        <w:rPr>
          <w:rFonts w:ascii="宋体" w:hAnsi="宋体"/>
          <w:color w:val="auto"/>
          <w:sz w:val="21"/>
          <w:szCs w:val="21"/>
          <w:highlight w:val="none"/>
        </w:rPr>
        <w:t>地    址：</w:t>
      </w:r>
      <w:r>
        <w:rPr>
          <w:rFonts w:hint="eastAsia" w:ascii="宋体" w:hAnsi="宋体"/>
          <w:b/>
          <w:color w:val="auto"/>
          <w:sz w:val="21"/>
          <w:szCs w:val="21"/>
          <w:highlight w:val="none"/>
          <w:u w:val="single"/>
        </w:rPr>
        <w:t xml:space="preserve">                                      </w:t>
      </w:r>
    </w:p>
    <w:p w14:paraId="05CE823A">
      <w:pPr>
        <w:widowControl w:val="0"/>
        <w:spacing w:after="0" w:line="400" w:lineRule="exact"/>
        <w:rPr>
          <w:rFonts w:ascii="宋体" w:hAnsi="宋体"/>
          <w:b/>
          <w:color w:val="auto"/>
          <w:sz w:val="21"/>
          <w:szCs w:val="21"/>
          <w:highlight w:val="none"/>
          <w:u w:val="single"/>
        </w:rPr>
      </w:pPr>
      <w:r>
        <w:rPr>
          <w:rFonts w:ascii="宋体" w:hAnsi="宋体"/>
          <w:color w:val="auto"/>
          <w:sz w:val="21"/>
          <w:szCs w:val="21"/>
          <w:highlight w:val="none"/>
        </w:rPr>
        <w:t>邮政编码：</w:t>
      </w:r>
      <w:r>
        <w:rPr>
          <w:rFonts w:hint="eastAsia" w:ascii="宋体" w:hAnsi="宋体"/>
          <w:b/>
          <w:color w:val="auto"/>
          <w:sz w:val="21"/>
          <w:szCs w:val="21"/>
          <w:highlight w:val="none"/>
          <w:u w:val="single"/>
        </w:rPr>
        <w:t xml:space="preserve">                                        </w:t>
      </w:r>
    </w:p>
    <w:p w14:paraId="0DCB4AC1">
      <w:pPr>
        <w:widowControl w:val="0"/>
        <w:spacing w:after="0" w:line="400" w:lineRule="exact"/>
        <w:rPr>
          <w:rFonts w:ascii="宋体" w:hAnsi="宋体"/>
          <w:b/>
          <w:color w:val="auto"/>
          <w:sz w:val="21"/>
          <w:szCs w:val="21"/>
          <w:highlight w:val="none"/>
          <w:u w:val="single"/>
        </w:rPr>
      </w:pPr>
      <w:r>
        <w:rPr>
          <w:rFonts w:ascii="宋体" w:hAnsi="宋体"/>
          <w:color w:val="auto"/>
          <w:sz w:val="21"/>
          <w:szCs w:val="21"/>
          <w:highlight w:val="none"/>
        </w:rPr>
        <w:t>电    话：</w:t>
      </w:r>
      <w:r>
        <w:rPr>
          <w:rFonts w:hint="eastAsia" w:ascii="宋体" w:hAnsi="宋体"/>
          <w:b/>
          <w:color w:val="auto"/>
          <w:sz w:val="21"/>
          <w:szCs w:val="21"/>
          <w:highlight w:val="none"/>
          <w:u w:val="single"/>
        </w:rPr>
        <w:t xml:space="preserve">                                       </w:t>
      </w:r>
    </w:p>
    <w:p w14:paraId="12CF0021">
      <w:pPr>
        <w:widowControl w:val="0"/>
        <w:spacing w:after="0" w:line="400" w:lineRule="exact"/>
        <w:rPr>
          <w:rFonts w:ascii="宋体" w:hAnsi="宋体"/>
          <w:b/>
          <w:color w:val="auto"/>
          <w:sz w:val="21"/>
          <w:szCs w:val="21"/>
          <w:highlight w:val="none"/>
          <w:u w:val="single"/>
        </w:rPr>
      </w:pPr>
      <w:r>
        <w:rPr>
          <w:rFonts w:hint="eastAsia" w:ascii="宋体" w:hAnsi="宋体" w:cs="宋体"/>
          <w:color w:val="auto"/>
          <w:sz w:val="21"/>
          <w:szCs w:val="21"/>
          <w:highlight w:val="none"/>
        </w:rPr>
        <w:t>传</w:t>
      </w:r>
      <w:r>
        <w:rPr>
          <w:rFonts w:ascii="宋体" w:hAnsi="宋体"/>
          <w:color w:val="auto"/>
          <w:sz w:val="21"/>
          <w:szCs w:val="21"/>
          <w:highlight w:val="none"/>
        </w:rPr>
        <w:t xml:space="preserve">    </w:t>
      </w:r>
      <w:r>
        <w:rPr>
          <w:rFonts w:hint="eastAsia" w:ascii="宋体" w:hAnsi="宋体" w:cs="宋体"/>
          <w:color w:val="auto"/>
          <w:sz w:val="21"/>
          <w:szCs w:val="21"/>
          <w:highlight w:val="none"/>
        </w:rPr>
        <w:t>真：</w:t>
      </w:r>
      <w:r>
        <w:rPr>
          <w:rFonts w:hint="eastAsia" w:ascii="宋体" w:hAnsi="宋体"/>
          <w:b/>
          <w:color w:val="auto"/>
          <w:sz w:val="21"/>
          <w:szCs w:val="21"/>
          <w:highlight w:val="none"/>
          <w:u w:val="single"/>
        </w:rPr>
        <w:t xml:space="preserve">                                   </w:t>
      </w:r>
    </w:p>
    <w:p w14:paraId="2085E5FD">
      <w:pPr>
        <w:widowControl w:val="0"/>
        <w:spacing w:line="400" w:lineRule="exact"/>
        <w:rPr>
          <w:rFonts w:hint="eastAsia" w:ascii="宋体"/>
          <w:color w:val="auto"/>
          <w:sz w:val="21"/>
          <w:szCs w:val="21"/>
          <w:highlight w:val="none"/>
        </w:rPr>
      </w:pPr>
    </w:p>
    <w:p w14:paraId="30554340">
      <w:pPr>
        <w:spacing w:after="0" w:line="380" w:lineRule="exact"/>
        <w:ind w:left="10" w:hanging="10"/>
        <w:contextualSpacing/>
        <w:rPr>
          <w:rFonts w:hint="eastAsia" w:hAnsi="宋体" w:eastAsia="宋体"/>
          <w:color w:val="auto"/>
          <w:sz w:val="21"/>
          <w:szCs w:val="21"/>
          <w:highlight w:val="none"/>
        </w:rPr>
      </w:pPr>
    </w:p>
    <w:p w14:paraId="58A91F06">
      <w:pPr>
        <w:spacing w:after="0" w:line="380" w:lineRule="exact"/>
        <w:ind w:left="10" w:hanging="10"/>
        <w:contextualSpacing/>
        <w:rPr>
          <w:rFonts w:hint="eastAsia" w:hAnsi="宋体" w:eastAsia="宋体"/>
          <w:color w:val="auto"/>
          <w:sz w:val="21"/>
          <w:szCs w:val="21"/>
          <w:highlight w:val="none"/>
        </w:rPr>
      </w:pPr>
    </w:p>
    <w:p w14:paraId="59AD01B8">
      <w:pPr>
        <w:spacing w:after="82" w:line="265" w:lineRule="auto"/>
        <w:ind w:left="10" w:hanging="10"/>
        <w:rPr>
          <w:rFonts w:hint="eastAsia" w:hAnsi="宋体" w:eastAsia="宋体"/>
          <w:color w:val="auto"/>
          <w:sz w:val="24"/>
          <w:szCs w:val="24"/>
          <w:highlight w:val="none"/>
        </w:rPr>
      </w:pPr>
    </w:p>
    <w:p w14:paraId="1792080D">
      <w:pPr>
        <w:pStyle w:val="10"/>
        <w:ind w:left="66" w:right="66"/>
        <w:rPr>
          <w:rFonts w:hint="eastAsia" w:hAnsi="宋体" w:eastAsia="宋体"/>
          <w:color w:val="auto"/>
          <w:sz w:val="24"/>
          <w:szCs w:val="24"/>
          <w:highlight w:val="none"/>
        </w:rPr>
      </w:pPr>
    </w:p>
    <w:p w14:paraId="75D1E021">
      <w:pPr>
        <w:rPr>
          <w:rFonts w:hint="eastAsia" w:hAnsi="宋体" w:eastAsia="宋体"/>
          <w:color w:val="auto"/>
          <w:sz w:val="24"/>
          <w:szCs w:val="24"/>
          <w:highlight w:val="none"/>
        </w:rPr>
      </w:pPr>
    </w:p>
    <w:p w14:paraId="25BCF327">
      <w:pPr>
        <w:pStyle w:val="54"/>
        <w:spacing w:line="380" w:lineRule="exact"/>
        <w:contextualSpacing/>
        <w:jc w:val="left"/>
        <w:rPr>
          <w:rFonts w:eastAsia="FangSong_GB2312"/>
          <w:color w:val="auto"/>
          <w:kern w:val="2"/>
          <w:sz w:val="28"/>
          <w:szCs w:val="28"/>
          <w:highlight w:val="none"/>
        </w:rPr>
      </w:pPr>
      <w:r>
        <w:rPr>
          <w:rFonts w:hint="eastAsia" w:eastAsia="FangSong_GB2312"/>
          <w:color w:val="auto"/>
          <w:kern w:val="2"/>
          <w:sz w:val="28"/>
          <w:szCs w:val="28"/>
          <w:highlight w:val="none"/>
        </w:rPr>
        <w:t>附件</w:t>
      </w:r>
      <w:r>
        <w:rPr>
          <w:rFonts w:eastAsia="FangSong_GB2312"/>
          <w:color w:val="auto"/>
          <w:kern w:val="2"/>
          <w:sz w:val="28"/>
          <w:szCs w:val="28"/>
          <w:highlight w:val="none"/>
        </w:rPr>
        <w:t>2</w:t>
      </w:r>
    </w:p>
    <w:p w14:paraId="22D7798A">
      <w:pPr>
        <w:spacing w:after="0" w:line="380" w:lineRule="exact"/>
        <w:contextualSpacing/>
        <w:jc w:val="center"/>
        <w:rPr>
          <w:rFonts w:ascii="宋体"/>
          <w:color w:val="auto"/>
          <w:sz w:val="28"/>
          <w:szCs w:val="28"/>
          <w:highlight w:val="none"/>
        </w:rPr>
      </w:pPr>
      <w:r>
        <w:rPr>
          <w:rFonts w:hint="eastAsia" w:ascii="宋体"/>
          <w:b/>
          <w:color w:val="auto"/>
          <w:sz w:val="28"/>
          <w:szCs w:val="28"/>
          <w:highlight w:val="none"/>
        </w:rPr>
        <w:t>廉政合同书</w:t>
      </w:r>
    </w:p>
    <w:p w14:paraId="02DB6530">
      <w:pPr>
        <w:spacing w:after="0" w:line="380" w:lineRule="exact"/>
        <w:ind w:firstLine="480"/>
        <w:contextualSpacing/>
        <w:rPr>
          <w:rFonts w:ascii="宋体"/>
          <w:color w:val="auto"/>
          <w:sz w:val="21"/>
          <w:szCs w:val="21"/>
          <w:highlight w:val="none"/>
        </w:rPr>
      </w:pPr>
      <w:r>
        <w:rPr>
          <w:rFonts w:hint="eastAsia" w:ascii="宋体"/>
          <w:color w:val="auto"/>
          <w:sz w:val="21"/>
          <w:szCs w:val="21"/>
          <w:highlight w:val="none"/>
        </w:rPr>
        <w:t>根据建设部《关于在工程建设勘察设计、施工、监理中推行廉政责任书的通知》（建力监</w:t>
      </w:r>
      <w:r>
        <w:rPr>
          <w:rFonts w:ascii="宋体"/>
          <w:color w:val="auto"/>
          <w:sz w:val="21"/>
          <w:szCs w:val="21"/>
          <w:highlight w:val="none"/>
        </w:rPr>
        <w:t>[2002]21</w:t>
      </w:r>
      <w:r>
        <w:rPr>
          <w:rFonts w:hint="eastAsia" w:ascii="宋体"/>
          <w:color w:val="auto"/>
          <w:sz w:val="21"/>
          <w:szCs w:val="21"/>
          <w:highlight w:val="none"/>
        </w:rPr>
        <w:t>号），以及有关工程建设、廉政建设的规定，为做好工程建设中的党风廉政建设，保证工程建设高效优质，保证建设资金的安全和有效使用以及投资效益，本项目业主（以下称甲方）与（以下称乙方），特订立如下合同。</w:t>
      </w:r>
    </w:p>
    <w:p w14:paraId="55CFC43C">
      <w:pPr>
        <w:spacing w:after="0" w:line="380" w:lineRule="exact"/>
        <w:ind w:firstLine="480"/>
        <w:contextualSpacing/>
        <w:rPr>
          <w:rFonts w:ascii="宋体"/>
          <w:color w:val="auto"/>
          <w:sz w:val="21"/>
          <w:szCs w:val="21"/>
          <w:highlight w:val="none"/>
        </w:rPr>
      </w:pPr>
      <w:r>
        <w:rPr>
          <w:rFonts w:hint="eastAsia" w:ascii="宋体"/>
          <w:color w:val="auto"/>
          <w:sz w:val="21"/>
          <w:szCs w:val="21"/>
          <w:highlight w:val="none"/>
        </w:rPr>
        <w:t>第一条甲乙双方的权利和义务</w:t>
      </w:r>
    </w:p>
    <w:p w14:paraId="239ECB5A">
      <w:pPr>
        <w:spacing w:after="0" w:line="380" w:lineRule="exact"/>
        <w:ind w:firstLine="480"/>
        <w:contextualSpacing/>
        <w:rPr>
          <w:rFonts w:ascii="宋体"/>
          <w:color w:val="auto"/>
          <w:sz w:val="21"/>
          <w:szCs w:val="21"/>
          <w:highlight w:val="none"/>
        </w:rPr>
      </w:pPr>
      <w:r>
        <w:rPr>
          <w:rFonts w:hint="eastAsia" w:ascii="宋体"/>
          <w:color w:val="auto"/>
          <w:sz w:val="21"/>
          <w:szCs w:val="21"/>
          <w:highlight w:val="none"/>
        </w:rPr>
        <w:t>㈠严格遵守国家关于市场准入、项目招标投标、工程建设、勘察设计和市场活动的有关法律、法规，相关政策，以及廉政建设的各项规定。</w:t>
      </w:r>
    </w:p>
    <w:p w14:paraId="09F7D8B1">
      <w:pPr>
        <w:spacing w:after="0" w:line="380" w:lineRule="exact"/>
        <w:ind w:firstLine="480"/>
        <w:contextualSpacing/>
        <w:rPr>
          <w:rFonts w:ascii="宋体"/>
          <w:color w:val="auto"/>
          <w:sz w:val="21"/>
          <w:szCs w:val="21"/>
          <w:highlight w:val="none"/>
        </w:rPr>
      </w:pPr>
      <w:r>
        <w:rPr>
          <w:rFonts w:hint="eastAsia" w:ascii="宋体"/>
          <w:color w:val="auto"/>
          <w:sz w:val="21"/>
          <w:szCs w:val="21"/>
          <w:highlight w:val="none"/>
        </w:rPr>
        <w:t>㈡严格执行合同文件，自觉按合同办事。</w:t>
      </w:r>
    </w:p>
    <w:p w14:paraId="7A9810B9">
      <w:pPr>
        <w:spacing w:after="0" w:line="380" w:lineRule="exact"/>
        <w:ind w:firstLine="480"/>
        <w:contextualSpacing/>
        <w:rPr>
          <w:rFonts w:ascii="宋体"/>
          <w:color w:val="auto"/>
          <w:sz w:val="21"/>
          <w:szCs w:val="21"/>
          <w:highlight w:val="none"/>
        </w:rPr>
      </w:pPr>
      <w:r>
        <w:rPr>
          <w:rFonts w:hint="eastAsia" w:ascii="宋体"/>
          <w:color w:val="auto"/>
          <w:sz w:val="21"/>
          <w:szCs w:val="21"/>
          <w:highlight w:val="none"/>
        </w:rPr>
        <w:t>㈢双方的业务活动坚持公开、公正、诚信、透明的原则《除法律认定的商业秘密和合同文件另有规定之外》，不得为获取不正当的利益，损害国家和集体利益，不得违反工程建设管理、勘察设计的规章制度。</w:t>
      </w:r>
    </w:p>
    <w:p w14:paraId="2A00A206">
      <w:pPr>
        <w:spacing w:after="0" w:line="380" w:lineRule="exact"/>
        <w:ind w:firstLine="480"/>
        <w:contextualSpacing/>
        <w:rPr>
          <w:rFonts w:ascii="宋体"/>
          <w:color w:val="auto"/>
          <w:sz w:val="21"/>
          <w:szCs w:val="21"/>
          <w:highlight w:val="none"/>
        </w:rPr>
      </w:pPr>
      <w:r>
        <w:rPr>
          <w:rFonts w:hint="eastAsia" w:ascii="宋体"/>
          <w:color w:val="auto"/>
          <w:sz w:val="21"/>
          <w:szCs w:val="21"/>
          <w:highlight w:val="none"/>
        </w:rPr>
        <w:t>㈣建立健全廉政制度，开展廉政教育，设立廉政告示牌，公布举报电话，监督并认认真查处违法违纪行为。</w:t>
      </w:r>
    </w:p>
    <w:p w14:paraId="7FDE56ED">
      <w:pPr>
        <w:spacing w:after="0" w:line="380" w:lineRule="exact"/>
        <w:ind w:firstLine="480"/>
        <w:contextualSpacing/>
        <w:rPr>
          <w:rFonts w:ascii="宋体"/>
          <w:color w:val="auto"/>
          <w:sz w:val="21"/>
          <w:szCs w:val="21"/>
          <w:highlight w:val="none"/>
        </w:rPr>
      </w:pPr>
      <w:r>
        <w:rPr>
          <w:rFonts w:hint="eastAsia" w:ascii="宋体"/>
          <w:color w:val="auto"/>
          <w:sz w:val="21"/>
          <w:szCs w:val="21"/>
          <w:highlight w:val="none"/>
        </w:rPr>
        <w:t>㈤发现对方在业务活动中有违反廉政规定的行为，有及时提醒对方纠正的权力和义务。</w:t>
      </w:r>
    </w:p>
    <w:p w14:paraId="609B996E">
      <w:pPr>
        <w:spacing w:after="0" w:line="380" w:lineRule="exact"/>
        <w:ind w:firstLine="480"/>
        <w:contextualSpacing/>
        <w:rPr>
          <w:rFonts w:ascii="宋体"/>
          <w:color w:val="auto"/>
          <w:sz w:val="21"/>
          <w:szCs w:val="21"/>
          <w:highlight w:val="none"/>
        </w:rPr>
      </w:pPr>
      <w:r>
        <w:rPr>
          <w:rFonts w:hint="eastAsia" w:ascii="宋体"/>
          <w:color w:val="auto"/>
          <w:sz w:val="21"/>
          <w:szCs w:val="21"/>
          <w:highlight w:val="none"/>
        </w:rPr>
        <w:t>㈥发现对方严重违反本合同义务条款的行为，有向其上级部门举报、建议给予处理并要求告知处理结果的权力。</w:t>
      </w:r>
    </w:p>
    <w:p w14:paraId="462FAE5F">
      <w:pPr>
        <w:spacing w:after="0" w:line="380" w:lineRule="exact"/>
        <w:ind w:firstLine="480"/>
        <w:contextualSpacing/>
        <w:rPr>
          <w:rFonts w:ascii="宋体"/>
          <w:color w:val="auto"/>
          <w:sz w:val="21"/>
          <w:szCs w:val="21"/>
          <w:highlight w:val="none"/>
        </w:rPr>
      </w:pPr>
      <w:r>
        <w:rPr>
          <w:rFonts w:hint="eastAsia" w:ascii="宋体"/>
          <w:color w:val="auto"/>
          <w:sz w:val="21"/>
          <w:szCs w:val="21"/>
          <w:highlight w:val="none"/>
        </w:rPr>
        <w:t>第二条甲方的义务</w:t>
      </w:r>
    </w:p>
    <w:p w14:paraId="1ECCC0C8">
      <w:pPr>
        <w:spacing w:after="0" w:line="380" w:lineRule="exact"/>
        <w:ind w:firstLine="480"/>
        <w:contextualSpacing/>
        <w:rPr>
          <w:rFonts w:ascii="宋体"/>
          <w:color w:val="auto"/>
          <w:sz w:val="21"/>
          <w:szCs w:val="21"/>
          <w:highlight w:val="none"/>
        </w:rPr>
      </w:pPr>
      <w:r>
        <w:rPr>
          <w:rFonts w:hint="eastAsia" w:ascii="宋体"/>
          <w:color w:val="auto"/>
          <w:sz w:val="21"/>
          <w:szCs w:val="21"/>
          <w:highlight w:val="none"/>
        </w:rPr>
        <w:t>㈠甲方及其工作人员不得索要或接受乙方的礼金、有价证券和贵重物品，不得在乙方报销任何应由甲方或其工作人员个人支付的费用等。</w:t>
      </w:r>
    </w:p>
    <w:p w14:paraId="46555ACF">
      <w:pPr>
        <w:spacing w:after="0" w:line="380" w:lineRule="exact"/>
        <w:ind w:firstLine="480"/>
        <w:contextualSpacing/>
        <w:rPr>
          <w:rFonts w:ascii="宋体"/>
          <w:color w:val="auto"/>
          <w:sz w:val="21"/>
          <w:szCs w:val="21"/>
          <w:highlight w:val="none"/>
        </w:rPr>
      </w:pPr>
      <w:r>
        <w:rPr>
          <w:rFonts w:hint="eastAsia" w:ascii="宋体"/>
          <w:color w:val="auto"/>
          <w:sz w:val="21"/>
          <w:szCs w:val="21"/>
          <w:highlight w:val="none"/>
        </w:rPr>
        <w:t>㈡甲方工作人员不得参加乙方安排的超标准宴请和娱乐活动；不得接受乙方提供的通讯工具、交通工具和高档办公用品等。</w:t>
      </w:r>
    </w:p>
    <w:p w14:paraId="77764618">
      <w:pPr>
        <w:spacing w:after="0" w:line="380" w:lineRule="exact"/>
        <w:ind w:firstLine="480"/>
        <w:contextualSpacing/>
        <w:rPr>
          <w:rFonts w:ascii="宋体"/>
          <w:color w:val="auto"/>
          <w:sz w:val="21"/>
          <w:szCs w:val="21"/>
          <w:highlight w:val="none"/>
        </w:rPr>
      </w:pPr>
      <w:r>
        <w:rPr>
          <w:rFonts w:hint="eastAsia" w:ascii="宋体"/>
          <w:color w:val="auto"/>
          <w:sz w:val="21"/>
          <w:szCs w:val="21"/>
          <w:highlight w:val="none"/>
        </w:rPr>
        <w:t>㈢甲方及其工作人员不得要求或者接受乙方为其住房装修、婚丧嫁娶活动、配偶子女及其亲属的工作安排以及出国出境、旅游等提供方便等。</w:t>
      </w:r>
    </w:p>
    <w:p w14:paraId="798DF635">
      <w:pPr>
        <w:spacing w:after="0" w:line="380" w:lineRule="exact"/>
        <w:ind w:firstLine="480"/>
        <w:contextualSpacing/>
        <w:rPr>
          <w:rFonts w:ascii="宋体"/>
          <w:color w:val="auto"/>
          <w:sz w:val="21"/>
          <w:szCs w:val="21"/>
          <w:highlight w:val="none"/>
        </w:rPr>
      </w:pPr>
      <w:r>
        <w:rPr>
          <w:rFonts w:hint="eastAsia" w:ascii="宋体"/>
          <w:color w:val="auto"/>
          <w:sz w:val="21"/>
          <w:szCs w:val="21"/>
          <w:highlight w:val="none"/>
        </w:rPr>
        <w:t>㈣不准向乙方和相关单位介绍或为配偶、子女、亲属参与同本勘察合同有关的勘察业务等活动。不得以任何理由要求乙方和相关单位在勘察中使用某种产品、材料和设备。</w:t>
      </w:r>
    </w:p>
    <w:p w14:paraId="77F850C8">
      <w:pPr>
        <w:spacing w:after="0" w:line="380" w:lineRule="exact"/>
        <w:ind w:firstLine="480"/>
        <w:contextualSpacing/>
        <w:rPr>
          <w:rFonts w:ascii="宋体"/>
          <w:color w:val="auto"/>
          <w:sz w:val="21"/>
          <w:szCs w:val="21"/>
          <w:highlight w:val="none"/>
        </w:rPr>
      </w:pPr>
      <w:r>
        <w:rPr>
          <w:rFonts w:hint="eastAsia" w:ascii="宋体"/>
          <w:color w:val="auto"/>
          <w:sz w:val="21"/>
          <w:szCs w:val="21"/>
          <w:highlight w:val="none"/>
        </w:rPr>
        <w:t>第三条乙方的义务</w:t>
      </w:r>
    </w:p>
    <w:p w14:paraId="69ACC0AA">
      <w:pPr>
        <w:spacing w:after="0" w:line="380" w:lineRule="exact"/>
        <w:ind w:firstLine="480"/>
        <w:contextualSpacing/>
        <w:rPr>
          <w:rFonts w:ascii="宋体"/>
          <w:color w:val="auto"/>
          <w:sz w:val="21"/>
          <w:szCs w:val="21"/>
          <w:highlight w:val="none"/>
        </w:rPr>
      </w:pPr>
      <w:r>
        <w:rPr>
          <w:rFonts w:hint="eastAsia" w:ascii="宋体"/>
          <w:color w:val="auto"/>
          <w:sz w:val="21"/>
          <w:szCs w:val="21"/>
          <w:highlight w:val="none"/>
        </w:rPr>
        <w:t>㈠乙方不得以任何理由向甲方及其工作人员行贿或馈赠礼金、有价证券、贵重礼品。</w:t>
      </w:r>
    </w:p>
    <w:p w14:paraId="0EBACA3A">
      <w:pPr>
        <w:spacing w:after="0" w:line="380" w:lineRule="exact"/>
        <w:ind w:firstLine="480"/>
        <w:contextualSpacing/>
        <w:rPr>
          <w:rFonts w:ascii="宋体"/>
          <w:color w:val="auto"/>
          <w:sz w:val="21"/>
          <w:szCs w:val="21"/>
          <w:highlight w:val="none"/>
        </w:rPr>
      </w:pPr>
      <w:r>
        <w:rPr>
          <w:rFonts w:hint="eastAsia" w:ascii="宋体"/>
          <w:color w:val="auto"/>
          <w:sz w:val="21"/>
          <w:szCs w:val="21"/>
          <w:highlight w:val="none"/>
        </w:rPr>
        <w:t>㈡乙方不得以任何名义为甲方及其工作人员报销应由甲方单位或个人支付的任何费用。</w:t>
      </w:r>
    </w:p>
    <w:p w14:paraId="38B743A5">
      <w:pPr>
        <w:spacing w:after="0" w:line="380" w:lineRule="exact"/>
        <w:ind w:firstLine="480"/>
        <w:contextualSpacing/>
        <w:rPr>
          <w:rFonts w:ascii="宋体"/>
          <w:color w:val="auto"/>
          <w:sz w:val="21"/>
          <w:szCs w:val="21"/>
          <w:highlight w:val="none"/>
        </w:rPr>
      </w:pPr>
      <w:r>
        <w:rPr>
          <w:rFonts w:hint="eastAsia" w:ascii="宋体"/>
          <w:color w:val="auto"/>
          <w:sz w:val="21"/>
          <w:szCs w:val="21"/>
          <w:highlight w:val="none"/>
        </w:rPr>
        <w:t>㈢不准接受或暗示为甲方、相关单位或个人装修住房、婚丧嫁娶、配偶子女的工作安排以及出国（境）、旅游等提供方便。</w:t>
      </w:r>
    </w:p>
    <w:p w14:paraId="5F44132B">
      <w:pPr>
        <w:spacing w:after="0" w:line="380" w:lineRule="exact"/>
        <w:ind w:firstLine="480"/>
        <w:contextualSpacing/>
        <w:rPr>
          <w:rFonts w:ascii="宋体"/>
          <w:color w:val="auto"/>
          <w:sz w:val="21"/>
          <w:szCs w:val="21"/>
          <w:highlight w:val="none"/>
        </w:rPr>
      </w:pPr>
      <w:r>
        <w:rPr>
          <w:rFonts w:hint="eastAsia" w:ascii="宋体"/>
          <w:color w:val="auto"/>
          <w:sz w:val="21"/>
          <w:szCs w:val="21"/>
          <w:highlight w:val="none"/>
        </w:rPr>
        <w:t>㈣乙方不得以任何理由安排甲方工作人员参加超标准宴请及娱乐活动。</w:t>
      </w:r>
    </w:p>
    <w:p w14:paraId="2A3E02D4">
      <w:pPr>
        <w:spacing w:after="0" w:line="380" w:lineRule="exact"/>
        <w:ind w:firstLine="480"/>
        <w:contextualSpacing/>
        <w:rPr>
          <w:rFonts w:ascii="宋体"/>
          <w:color w:val="auto"/>
          <w:sz w:val="21"/>
          <w:szCs w:val="21"/>
          <w:highlight w:val="none"/>
        </w:rPr>
      </w:pPr>
      <w:r>
        <w:rPr>
          <w:rFonts w:hint="eastAsia" w:ascii="宋体"/>
          <w:color w:val="auto"/>
          <w:sz w:val="21"/>
          <w:szCs w:val="21"/>
          <w:highlight w:val="none"/>
        </w:rPr>
        <w:t>第四条违约责任</w:t>
      </w:r>
    </w:p>
    <w:p w14:paraId="776B85A6">
      <w:pPr>
        <w:spacing w:after="0" w:line="380" w:lineRule="exact"/>
        <w:ind w:firstLine="480"/>
        <w:contextualSpacing/>
        <w:rPr>
          <w:rFonts w:ascii="宋体"/>
          <w:color w:val="auto"/>
          <w:sz w:val="21"/>
          <w:szCs w:val="21"/>
          <w:highlight w:val="none"/>
        </w:rPr>
      </w:pPr>
      <w:r>
        <w:rPr>
          <w:rFonts w:hint="eastAsia" w:ascii="宋体"/>
          <w:color w:val="auto"/>
          <w:sz w:val="21"/>
          <w:szCs w:val="21"/>
          <w:highlight w:val="none"/>
        </w:rPr>
        <w:t>㈠甲方及其工作人员违反本合同第一、二条责任行为的，按管理权限，依据有关规定给予党纪、政纪处分或组织处理；涉嫌犯罪的，移交司法机关追究刑事责任；给乙方单位造成经济损失的，应予以赔偿。</w:t>
      </w:r>
    </w:p>
    <w:p w14:paraId="6C60A9B3">
      <w:pPr>
        <w:spacing w:after="0" w:line="380" w:lineRule="exact"/>
        <w:ind w:firstLine="480"/>
        <w:contextualSpacing/>
        <w:rPr>
          <w:rFonts w:ascii="宋体"/>
          <w:color w:val="auto"/>
          <w:sz w:val="21"/>
          <w:szCs w:val="21"/>
          <w:highlight w:val="none"/>
        </w:rPr>
      </w:pPr>
      <w:r>
        <w:rPr>
          <w:rFonts w:hint="eastAsia" w:ascii="宋体"/>
          <w:color w:val="auto"/>
          <w:sz w:val="21"/>
          <w:szCs w:val="21"/>
          <w:highlight w:val="none"/>
        </w:rPr>
        <w:t>㈡乙方及其工作人员违反本合同第一、三条责任行为的，按管理权限，依据有关规定给予党纪、政纪处分或组织处理；涉嫌犯罪的，移交司法机关追究刑事责任；给甲方单位造成经济损失的，应予以赔偿。</w:t>
      </w:r>
    </w:p>
    <w:p w14:paraId="11BD5CE9">
      <w:pPr>
        <w:spacing w:after="0" w:line="380" w:lineRule="exact"/>
        <w:ind w:firstLine="480"/>
        <w:contextualSpacing/>
        <w:rPr>
          <w:rFonts w:ascii="宋体"/>
          <w:color w:val="auto"/>
          <w:sz w:val="21"/>
          <w:szCs w:val="21"/>
          <w:highlight w:val="none"/>
        </w:rPr>
      </w:pPr>
      <w:r>
        <w:rPr>
          <w:rFonts w:hint="eastAsia" w:ascii="宋体"/>
          <w:color w:val="auto"/>
          <w:sz w:val="21"/>
          <w:szCs w:val="21"/>
          <w:highlight w:val="none"/>
        </w:rPr>
        <w:t>第五条双方约定：本合同由双方或双方上级单位的纪检监察机关负责监督。由甲方或甲方上级单位的纪检监察机关约请乙方或乙方上级单位纪检监察机关对本合同履行情况进行检查，提出在本合同规定范围内的裁定意见。</w:t>
      </w:r>
    </w:p>
    <w:p w14:paraId="79D2741A">
      <w:pPr>
        <w:spacing w:after="0" w:line="380" w:lineRule="exact"/>
        <w:ind w:firstLine="480"/>
        <w:contextualSpacing/>
        <w:rPr>
          <w:rFonts w:ascii="宋体"/>
          <w:color w:val="auto"/>
          <w:sz w:val="21"/>
          <w:szCs w:val="21"/>
          <w:highlight w:val="none"/>
        </w:rPr>
      </w:pPr>
      <w:r>
        <w:rPr>
          <w:rFonts w:hint="eastAsia" w:ascii="宋体"/>
          <w:color w:val="auto"/>
          <w:sz w:val="21"/>
          <w:szCs w:val="21"/>
          <w:highlight w:val="none"/>
        </w:rPr>
        <w:t>第六条本合同有效期为甲乙双方签署之日起至本合同失效之日止。</w:t>
      </w:r>
    </w:p>
    <w:p w14:paraId="2B8E4CDD">
      <w:pPr>
        <w:spacing w:after="0" w:line="380" w:lineRule="exact"/>
        <w:ind w:firstLine="480"/>
        <w:contextualSpacing/>
        <w:rPr>
          <w:rFonts w:ascii="宋体"/>
          <w:color w:val="auto"/>
          <w:sz w:val="21"/>
          <w:szCs w:val="21"/>
          <w:highlight w:val="none"/>
        </w:rPr>
      </w:pPr>
      <w:r>
        <w:rPr>
          <w:rFonts w:hint="eastAsia" w:ascii="宋体"/>
          <w:color w:val="auto"/>
          <w:sz w:val="21"/>
          <w:szCs w:val="21"/>
          <w:highlight w:val="none"/>
        </w:rPr>
        <w:t>第七条本合同作为合同附件，与勘察合同具有同等的法律效力，经合同双方签署立即生效。</w:t>
      </w:r>
    </w:p>
    <w:p w14:paraId="66E12A1D">
      <w:pPr>
        <w:spacing w:after="0" w:line="380" w:lineRule="exact"/>
        <w:ind w:firstLine="480"/>
        <w:contextualSpacing/>
        <w:rPr>
          <w:rFonts w:ascii="宋体"/>
          <w:color w:val="auto"/>
          <w:sz w:val="21"/>
          <w:szCs w:val="21"/>
          <w:highlight w:val="none"/>
        </w:rPr>
      </w:pPr>
      <w:r>
        <w:rPr>
          <w:rFonts w:hint="eastAsia" w:ascii="宋体"/>
          <w:color w:val="auto"/>
          <w:sz w:val="21"/>
          <w:szCs w:val="21"/>
          <w:highlight w:val="none"/>
        </w:rPr>
        <w:t>第八条本合同份数与协议书等同，送交甲乙双方的监督单位各一份。</w:t>
      </w:r>
    </w:p>
    <w:p w14:paraId="0A8F17B7">
      <w:pPr>
        <w:spacing w:after="0" w:line="380" w:lineRule="exact"/>
        <w:contextualSpacing/>
        <w:rPr>
          <w:rFonts w:ascii="宋体"/>
          <w:color w:val="auto"/>
          <w:sz w:val="21"/>
          <w:szCs w:val="21"/>
          <w:highlight w:val="none"/>
        </w:rPr>
      </w:pPr>
    </w:p>
    <w:p w14:paraId="0A39E7BE">
      <w:pPr>
        <w:spacing w:after="0" w:line="380" w:lineRule="exact"/>
        <w:contextualSpacing/>
        <w:rPr>
          <w:rFonts w:ascii="宋体"/>
          <w:color w:val="auto"/>
          <w:sz w:val="21"/>
          <w:szCs w:val="21"/>
          <w:highlight w:val="none"/>
        </w:rPr>
      </w:pPr>
    </w:p>
    <w:p w14:paraId="254383FA">
      <w:pPr>
        <w:pStyle w:val="14"/>
        <w:snapToGrid w:val="0"/>
        <w:spacing w:line="380" w:lineRule="exact"/>
        <w:ind w:firstLine="210" w:firstLineChars="100"/>
        <w:contextualSpacing/>
        <w:rPr>
          <w:rFonts w:hAnsi="宋体"/>
          <w:color w:val="auto"/>
          <w:sz w:val="21"/>
          <w:szCs w:val="21"/>
          <w:highlight w:val="none"/>
        </w:rPr>
      </w:pPr>
      <w:r>
        <w:rPr>
          <w:rFonts w:hint="eastAsia" w:hAnsi="宋体"/>
          <w:color w:val="auto"/>
          <w:sz w:val="21"/>
          <w:szCs w:val="21"/>
          <w:highlight w:val="none"/>
        </w:rPr>
        <w:t>甲方：乙方：</w:t>
      </w:r>
    </w:p>
    <w:p w14:paraId="1022119B">
      <w:pPr>
        <w:pStyle w:val="14"/>
        <w:snapToGrid w:val="0"/>
        <w:spacing w:line="380" w:lineRule="exact"/>
        <w:ind w:firstLine="1785" w:firstLineChars="850"/>
        <w:contextualSpacing/>
        <w:rPr>
          <w:rFonts w:hAnsi="宋体"/>
          <w:color w:val="auto"/>
          <w:sz w:val="21"/>
          <w:szCs w:val="21"/>
          <w:highlight w:val="none"/>
        </w:rPr>
      </w:pPr>
      <w:r>
        <w:rPr>
          <w:rFonts w:hAnsi="宋体"/>
          <w:color w:val="auto"/>
          <w:sz w:val="21"/>
          <w:szCs w:val="21"/>
          <w:highlight w:val="none"/>
        </w:rPr>
        <w:t>(</w:t>
      </w:r>
      <w:r>
        <w:rPr>
          <w:rFonts w:hint="eastAsia" w:hAnsi="宋体"/>
          <w:color w:val="auto"/>
          <w:sz w:val="21"/>
          <w:szCs w:val="21"/>
          <w:highlight w:val="none"/>
        </w:rPr>
        <w:t>公章</w:t>
      </w:r>
      <w:r>
        <w:rPr>
          <w:rFonts w:hAnsi="宋体"/>
          <w:color w:val="auto"/>
          <w:sz w:val="21"/>
          <w:szCs w:val="21"/>
          <w:highlight w:val="none"/>
        </w:rPr>
        <w:t>)                                     (</w:t>
      </w:r>
      <w:r>
        <w:rPr>
          <w:rFonts w:hint="eastAsia" w:hAnsi="宋体"/>
          <w:color w:val="auto"/>
          <w:sz w:val="21"/>
          <w:szCs w:val="21"/>
          <w:highlight w:val="none"/>
        </w:rPr>
        <w:t>公章</w:t>
      </w:r>
      <w:r>
        <w:rPr>
          <w:rFonts w:hAnsi="宋体"/>
          <w:color w:val="auto"/>
          <w:sz w:val="21"/>
          <w:szCs w:val="21"/>
          <w:highlight w:val="none"/>
        </w:rPr>
        <w:t>)</w:t>
      </w:r>
    </w:p>
    <w:p w14:paraId="78BE4BDA">
      <w:pPr>
        <w:pStyle w:val="14"/>
        <w:snapToGrid w:val="0"/>
        <w:spacing w:line="380" w:lineRule="exact"/>
        <w:contextualSpacing/>
        <w:rPr>
          <w:rFonts w:hAnsi="宋体"/>
          <w:color w:val="auto"/>
          <w:sz w:val="21"/>
          <w:szCs w:val="21"/>
          <w:highlight w:val="none"/>
        </w:rPr>
      </w:pPr>
    </w:p>
    <w:p w14:paraId="3D6D3633">
      <w:pPr>
        <w:pStyle w:val="14"/>
        <w:snapToGrid w:val="0"/>
        <w:spacing w:line="380" w:lineRule="exact"/>
        <w:ind w:firstLine="315" w:firstLineChars="150"/>
        <w:contextualSpacing/>
        <w:rPr>
          <w:rFonts w:hAnsi="宋体"/>
          <w:color w:val="auto"/>
          <w:sz w:val="21"/>
          <w:szCs w:val="21"/>
          <w:highlight w:val="none"/>
        </w:rPr>
      </w:pPr>
      <w:r>
        <w:rPr>
          <w:rFonts w:hint="eastAsia" w:hAnsi="宋体"/>
          <w:color w:val="auto"/>
          <w:sz w:val="21"/>
          <w:szCs w:val="21"/>
          <w:highlight w:val="none"/>
        </w:rPr>
        <w:t>法人代表人：（签章）</w:t>
      </w:r>
      <w:r>
        <w:rPr>
          <w:rFonts w:hint="eastAsia" w:hAnsi="宋体"/>
          <w:color w:val="auto"/>
          <w:sz w:val="21"/>
          <w:szCs w:val="21"/>
          <w:highlight w:val="none"/>
          <w:lang w:val="en-US" w:eastAsia="zh-CN"/>
        </w:rPr>
        <w:t xml:space="preserve">                              </w:t>
      </w:r>
      <w:r>
        <w:rPr>
          <w:rFonts w:hint="eastAsia" w:hAnsi="宋体"/>
          <w:color w:val="auto"/>
          <w:sz w:val="21"/>
          <w:szCs w:val="21"/>
          <w:highlight w:val="none"/>
        </w:rPr>
        <w:t>法人代表人：（签章）</w:t>
      </w:r>
    </w:p>
    <w:p w14:paraId="7F9E6095">
      <w:pPr>
        <w:pStyle w:val="14"/>
        <w:snapToGrid w:val="0"/>
        <w:spacing w:line="380" w:lineRule="exact"/>
        <w:contextualSpacing/>
        <w:rPr>
          <w:rFonts w:hAnsi="宋体"/>
          <w:color w:val="auto"/>
          <w:sz w:val="21"/>
          <w:szCs w:val="21"/>
          <w:highlight w:val="none"/>
        </w:rPr>
      </w:pPr>
      <w:r>
        <w:rPr>
          <w:rFonts w:hint="eastAsia" w:hAnsi="宋体"/>
          <w:color w:val="auto"/>
          <w:sz w:val="21"/>
          <w:szCs w:val="21"/>
          <w:highlight w:val="none"/>
        </w:rPr>
        <w:t>住址：</w:t>
      </w:r>
      <w:r>
        <w:rPr>
          <w:rFonts w:hint="eastAsia" w:hAnsi="宋体"/>
          <w:color w:val="auto"/>
          <w:sz w:val="21"/>
          <w:szCs w:val="21"/>
          <w:highlight w:val="none"/>
          <w:lang w:val="en-US" w:eastAsia="zh-CN"/>
        </w:rPr>
        <w:t xml:space="preserve">                                               </w:t>
      </w:r>
      <w:r>
        <w:rPr>
          <w:rFonts w:hint="eastAsia" w:hAnsi="宋体"/>
          <w:color w:val="auto"/>
          <w:sz w:val="21"/>
          <w:szCs w:val="21"/>
          <w:highlight w:val="none"/>
        </w:rPr>
        <w:t>住址：</w:t>
      </w:r>
    </w:p>
    <w:p w14:paraId="75341062">
      <w:pPr>
        <w:pStyle w:val="14"/>
        <w:snapToGrid w:val="0"/>
        <w:spacing w:line="380" w:lineRule="exact"/>
        <w:contextualSpacing/>
        <w:rPr>
          <w:rFonts w:hAnsi="宋体"/>
          <w:color w:val="auto"/>
          <w:sz w:val="21"/>
          <w:szCs w:val="21"/>
          <w:highlight w:val="none"/>
        </w:rPr>
      </w:pPr>
      <w:r>
        <w:rPr>
          <w:rFonts w:hint="eastAsia" w:hAnsi="宋体"/>
          <w:color w:val="auto"/>
          <w:sz w:val="21"/>
          <w:szCs w:val="21"/>
          <w:highlight w:val="none"/>
        </w:rPr>
        <w:t>电话：</w:t>
      </w:r>
      <w:r>
        <w:rPr>
          <w:rFonts w:hint="eastAsia" w:hAnsi="宋体"/>
          <w:color w:val="auto"/>
          <w:sz w:val="21"/>
          <w:szCs w:val="21"/>
          <w:highlight w:val="none"/>
          <w:lang w:val="en-US" w:eastAsia="zh-CN"/>
        </w:rPr>
        <w:t xml:space="preserve">                                                </w:t>
      </w:r>
      <w:r>
        <w:rPr>
          <w:rFonts w:hint="eastAsia" w:hAnsi="宋体"/>
          <w:color w:val="auto"/>
          <w:sz w:val="21"/>
          <w:szCs w:val="21"/>
          <w:highlight w:val="none"/>
        </w:rPr>
        <w:t>电话：</w:t>
      </w:r>
    </w:p>
    <w:p w14:paraId="79A16489">
      <w:pPr>
        <w:pStyle w:val="14"/>
        <w:snapToGrid w:val="0"/>
        <w:spacing w:line="380" w:lineRule="exact"/>
        <w:contextualSpacing/>
        <w:rPr>
          <w:rFonts w:hAnsi="宋体"/>
          <w:color w:val="auto"/>
          <w:sz w:val="21"/>
          <w:szCs w:val="21"/>
          <w:highlight w:val="none"/>
        </w:rPr>
      </w:pPr>
      <w:r>
        <w:rPr>
          <w:rFonts w:hint="eastAsia" w:hAnsi="宋体"/>
          <w:color w:val="auto"/>
          <w:sz w:val="21"/>
          <w:szCs w:val="21"/>
          <w:highlight w:val="none"/>
        </w:rPr>
        <w:t>传真：</w:t>
      </w:r>
      <w:r>
        <w:rPr>
          <w:rFonts w:hint="eastAsia" w:hAnsi="宋体"/>
          <w:color w:val="auto"/>
          <w:sz w:val="21"/>
          <w:szCs w:val="21"/>
          <w:highlight w:val="none"/>
          <w:lang w:val="en-US" w:eastAsia="zh-CN"/>
        </w:rPr>
        <w:t xml:space="preserve">                                               </w:t>
      </w:r>
      <w:r>
        <w:rPr>
          <w:rFonts w:hint="eastAsia" w:hAnsi="宋体"/>
          <w:color w:val="auto"/>
          <w:sz w:val="21"/>
          <w:szCs w:val="21"/>
          <w:highlight w:val="none"/>
        </w:rPr>
        <w:t>传真：</w:t>
      </w:r>
    </w:p>
    <w:p w14:paraId="17C40577">
      <w:pPr>
        <w:pStyle w:val="14"/>
        <w:snapToGrid w:val="0"/>
        <w:spacing w:line="380" w:lineRule="exact"/>
        <w:contextualSpacing/>
        <w:rPr>
          <w:rFonts w:hAnsi="宋体"/>
          <w:color w:val="auto"/>
          <w:sz w:val="21"/>
          <w:szCs w:val="21"/>
          <w:highlight w:val="none"/>
        </w:rPr>
      </w:pPr>
      <w:r>
        <w:rPr>
          <w:rFonts w:hint="eastAsia" w:hAnsi="宋体"/>
          <w:color w:val="auto"/>
          <w:sz w:val="21"/>
          <w:szCs w:val="21"/>
          <w:highlight w:val="none"/>
        </w:rPr>
        <w:t>邮政编码：</w:t>
      </w:r>
      <w:r>
        <w:rPr>
          <w:rFonts w:hint="eastAsia" w:hAnsi="宋体"/>
          <w:color w:val="auto"/>
          <w:sz w:val="21"/>
          <w:szCs w:val="21"/>
          <w:highlight w:val="none"/>
          <w:lang w:val="en-US" w:eastAsia="zh-CN"/>
        </w:rPr>
        <w:t xml:space="preserve">                                          </w:t>
      </w:r>
      <w:r>
        <w:rPr>
          <w:rFonts w:hint="eastAsia" w:hAnsi="宋体"/>
          <w:color w:val="auto"/>
          <w:sz w:val="21"/>
          <w:szCs w:val="21"/>
          <w:highlight w:val="none"/>
        </w:rPr>
        <w:t>邮政编码：</w:t>
      </w:r>
    </w:p>
    <w:p w14:paraId="2026C8C0">
      <w:pPr>
        <w:spacing w:after="0" w:line="380" w:lineRule="exact"/>
        <w:ind w:left="10" w:hanging="10"/>
        <w:contextualSpacing/>
        <w:rPr>
          <w:rFonts w:hint="eastAsia" w:hAnsi="宋体" w:eastAsia="宋体"/>
          <w:color w:val="auto"/>
          <w:sz w:val="24"/>
          <w:szCs w:val="24"/>
          <w:highlight w:val="none"/>
        </w:rPr>
      </w:pPr>
      <w:r>
        <w:rPr>
          <w:rFonts w:hAnsi="宋体" w:eastAsia="Times New Roman"/>
          <w:color w:val="auto"/>
          <w:sz w:val="21"/>
          <w:szCs w:val="21"/>
          <w:highlight w:val="none"/>
        </w:rPr>
        <w:t xml:space="preserve">   年    月    日                              年   月   日</w:t>
      </w:r>
    </w:p>
    <w:p w14:paraId="33595D87">
      <w:pPr>
        <w:widowControl/>
        <w:snapToGrid w:val="0"/>
        <w:spacing w:line="480" w:lineRule="exact"/>
        <w:ind w:right="110" w:rightChars="50" w:firstLine="442" w:firstLineChars="200"/>
        <w:rPr>
          <w:rFonts w:hint="eastAsia" w:asciiTheme="minorEastAsia" w:hAnsiTheme="minorEastAsia" w:eastAsiaTheme="minorEastAsia" w:cstheme="minorEastAsia"/>
          <w:b/>
          <w:bCs/>
          <w:color w:val="000000" w:themeColor="text1"/>
          <w:highlight w:val="none"/>
          <w:lang w:eastAsia="zh-CN"/>
          <w14:textFill>
            <w14:solidFill>
              <w14:schemeClr w14:val="tx1"/>
            </w14:solidFill>
          </w14:textFill>
        </w:rPr>
      </w:pPr>
    </w:p>
    <w:p w14:paraId="5237AC75">
      <w:pPr>
        <w:rPr>
          <w:rFonts w:hint="eastAsia" w:asciiTheme="minorEastAsia" w:hAnsiTheme="minorEastAsia" w:eastAsiaTheme="minorEastAsia" w:cstheme="minorEastAsia"/>
          <w:b/>
          <w:bCs/>
          <w:color w:val="000000" w:themeColor="text1"/>
          <w:sz w:val="32"/>
          <w:szCs w:val="32"/>
          <w:highlight w:val="none"/>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sz w:val="32"/>
          <w:szCs w:val="32"/>
          <w:highlight w:val="none"/>
          <w:lang w:val="en-US" w:eastAsia="zh-CN" w:bidi="ar-SA"/>
          <w14:textFill>
            <w14:solidFill>
              <w14:schemeClr w14:val="tx1"/>
            </w14:solidFill>
          </w14:textFill>
        </w:rPr>
        <w:br w:type="page"/>
      </w:r>
    </w:p>
    <w:p w14:paraId="4F7BE2BA">
      <w:pPr>
        <w:pStyle w:val="10"/>
        <w:numPr>
          <w:ilvl w:val="0"/>
          <w:numId w:val="0"/>
        </w:numPr>
        <w:jc w:val="center"/>
        <w:outlineLvl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bookmarkStart w:id="65" w:name="_Toc19591"/>
      <w:r>
        <w:rPr>
          <w:rFonts w:hint="eastAsia" w:asciiTheme="minorEastAsia" w:hAnsiTheme="minorEastAsia" w:eastAsiaTheme="minorEastAsia" w:cstheme="minorEastAsia"/>
          <w:b/>
          <w:bCs/>
          <w:color w:val="000000" w:themeColor="text1"/>
          <w:sz w:val="32"/>
          <w:szCs w:val="32"/>
          <w:highlight w:val="none"/>
          <w:lang w:val="en-US" w:eastAsia="zh-CN" w:bidi="ar-SA"/>
          <w14:textFill>
            <w14:solidFill>
              <w14:schemeClr w14:val="tx1"/>
            </w14:solidFill>
          </w14:textFill>
        </w:rPr>
        <w:t xml:space="preserve">第五章 </w:t>
      </w:r>
      <w:bookmarkEnd w:id="65"/>
      <w:r>
        <w:rPr>
          <w:rFonts w:hint="eastAsia" w:asciiTheme="minorEastAsia" w:hAnsiTheme="minorEastAsia" w:eastAsiaTheme="minorEastAsia" w:cstheme="minorEastAsia"/>
          <w:b/>
          <w:bCs/>
          <w:color w:val="000000" w:themeColor="text1"/>
          <w:sz w:val="32"/>
          <w:szCs w:val="32"/>
          <w:highlight w:val="none"/>
          <w:lang w:val="en-US" w:eastAsia="zh-CN" w:bidi="ar-SA"/>
          <w14:textFill>
            <w14:solidFill>
              <w14:schemeClr w14:val="tx1"/>
            </w14:solidFill>
          </w14:textFill>
        </w:rPr>
        <w:t>服务需求</w:t>
      </w:r>
    </w:p>
    <w:p w14:paraId="09287C17">
      <w:pPr>
        <w:jc w:val="both"/>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pPr>
    </w:p>
    <w:p w14:paraId="30EEEA06">
      <w:pPr>
        <w:pageBreakBefore w:val="0"/>
        <w:kinsoku/>
        <w:wordWrap/>
        <w:overflowPunct/>
        <w:topLinePunct w:val="0"/>
        <w:autoSpaceDE/>
        <w:autoSpaceDN/>
        <w:bidi w:val="0"/>
        <w:spacing w:line="360" w:lineRule="auto"/>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pPr>
    </w:p>
    <w:p w14:paraId="37C2FDEC">
      <w:pP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pPr>
    </w:p>
    <w:p w14:paraId="5FD7B40A">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宋体" w:hAnsi="宋体" w:cs="宋体"/>
          <w:color w:val="auto"/>
          <w:szCs w:val="21"/>
          <w:highlight w:val="none"/>
        </w:rPr>
      </w:pPr>
      <w:bookmarkStart w:id="66" w:name="_Toc31737"/>
      <w:r>
        <w:rPr>
          <w:rFonts w:hint="eastAsia" w:ascii="宋体" w:hAnsi="宋体" w:cs="宋体"/>
          <w:b/>
          <w:bCs/>
          <w:color w:val="auto"/>
          <w:szCs w:val="21"/>
          <w:highlight w:val="none"/>
        </w:rPr>
        <w:t>一、项目概况</w:t>
      </w:r>
    </w:p>
    <w:p w14:paraId="35AE6EF5">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宋体" w:hAnsi="宋体" w:cs="宋体"/>
          <w:color w:val="auto"/>
          <w:kern w:val="0"/>
          <w:sz w:val="21"/>
          <w:szCs w:val="21"/>
          <w:highlight w:val="none"/>
          <w:u w:val="single"/>
          <w:lang w:eastAsia="zh-CN"/>
        </w:rPr>
      </w:pPr>
      <w:r>
        <w:rPr>
          <w:rFonts w:hint="eastAsia" w:ascii="宋体" w:hAnsi="宋体" w:eastAsia="宋体" w:cs="宋体"/>
          <w:color w:val="auto"/>
          <w:szCs w:val="21"/>
          <w:highlight w:val="none"/>
        </w:rPr>
        <w:t>1、项目名称：</w:t>
      </w:r>
      <w:r>
        <w:rPr>
          <w:rFonts w:hint="eastAsia" w:ascii="宋体" w:hAnsi="宋体" w:cs="宋体"/>
          <w:color w:val="auto"/>
          <w:kern w:val="0"/>
          <w:sz w:val="21"/>
          <w:szCs w:val="21"/>
          <w:highlight w:val="none"/>
          <w:u w:val="single"/>
          <w:lang w:val="en-US" w:eastAsia="zh-CN"/>
        </w:rPr>
        <w:t>1#学生宿舍项目工程勘察</w:t>
      </w:r>
      <w:r>
        <w:rPr>
          <w:rFonts w:hint="eastAsia" w:ascii="宋体" w:hAnsi="宋体" w:cs="宋体"/>
          <w:color w:val="auto"/>
          <w:kern w:val="0"/>
          <w:sz w:val="21"/>
          <w:szCs w:val="21"/>
          <w:highlight w:val="none"/>
          <w:u w:val="single"/>
          <w:lang w:eastAsia="zh-CN"/>
        </w:rPr>
        <w:t>服务</w:t>
      </w:r>
    </w:p>
    <w:p w14:paraId="74ECE4C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44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2、建设地点：</w:t>
      </w:r>
      <w:r>
        <w:rPr>
          <w:rFonts w:hint="eastAsia" w:ascii="宋体" w:hAnsi="宋体" w:eastAsia="宋体" w:cs="宋体"/>
          <w:color w:val="auto"/>
          <w:szCs w:val="21"/>
          <w:highlight w:val="none"/>
          <w:lang w:val="en-US" w:eastAsia="zh-CN"/>
        </w:rPr>
        <w:t>广西柳州市柳北区沙塘镇沙塘街45号广西农牧工程学校校园内</w:t>
      </w:r>
    </w:p>
    <w:p w14:paraId="263B65BD">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、项目投资：</w:t>
      </w:r>
    </w:p>
    <w:p w14:paraId="35BBF8AD">
      <w:pPr>
        <w:spacing w:line="380" w:lineRule="exact"/>
        <w:ind w:firstLine="440" w:firstLineChars="200"/>
        <w:rPr>
          <w:rFonts w:hint="eastAsia" w:ascii="宋体" w:hAnsi="宋体" w:cs="宋体"/>
          <w:b/>
          <w:szCs w:val="21"/>
        </w:rPr>
      </w:pPr>
      <w:r>
        <w:rPr>
          <w:rFonts w:hint="eastAsia" w:ascii="宋体" w:hAnsi="宋体" w:cs="宋体"/>
          <w:b/>
          <w:szCs w:val="21"/>
          <w:lang w:val="en-US" w:eastAsia="zh-CN"/>
        </w:rPr>
        <w:t>二、</w:t>
      </w:r>
      <w:r>
        <w:rPr>
          <w:rFonts w:hint="eastAsia" w:ascii="宋体" w:hAnsi="宋体" w:cs="宋体"/>
          <w:b/>
          <w:szCs w:val="21"/>
        </w:rPr>
        <w:t>项目基本情况</w:t>
      </w:r>
    </w:p>
    <w:p w14:paraId="1D3ABC3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440" w:firstLineChars="200"/>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拆除1#学生宿舍的旧址上新建1栋学生宿舍，为地上6层建筑，总建筑面积2830平方米，建筑高</w:t>
      </w:r>
      <w:r>
        <w:rPr>
          <w:rFonts w:hint="default"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en-US" w:eastAsia="zh-CN"/>
        </w:rPr>
        <w:t>4米，建筑层高为</w:t>
      </w:r>
      <w:r>
        <w:rPr>
          <w:rFonts w:hint="default" w:ascii="宋体" w:hAnsi="宋体" w:eastAsia="宋体" w:cs="宋体"/>
          <w:color w:val="auto"/>
          <w:szCs w:val="21"/>
          <w:highlight w:val="none"/>
          <w:lang w:val="en-US" w:eastAsia="zh-CN"/>
        </w:rPr>
        <w:t>3.6</w:t>
      </w:r>
      <w:r>
        <w:rPr>
          <w:rFonts w:hint="eastAsia" w:ascii="宋体" w:hAnsi="宋体" w:eastAsia="宋体" w:cs="宋体"/>
          <w:color w:val="auto"/>
          <w:szCs w:val="21"/>
          <w:highlight w:val="none"/>
          <w:lang w:val="en-US" w:eastAsia="zh-CN"/>
        </w:rPr>
        <w:t>米，建筑总高</w:t>
      </w:r>
      <w:r>
        <w:rPr>
          <w:rFonts w:hint="default" w:ascii="宋体" w:hAnsi="宋体" w:eastAsia="宋体" w:cs="宋体"/>
          <w:color w:val="auto"/>
          <w:szCs w:val="21"/>
          <w:highlight w:val="none"/>
          <w:lang w:val="en-US" w:eastAsia="zh-CN"/>
        </w:rPr>
        <w:t>23.9</w:t>
      </w:r>
      <w:r>
        <w:rPr>
          <w:rFonts w:hint="eastAsia" w:ascii="宋体" w:hAnsi="宋体" w:eastAsia="宋体" w:cs="宋体"/>
          <w:color w:val="auto"/>
          <w:szCs w:val="21"/>
          <w:highlight w:val="none"/>
          <w:lang w:val="en-US" w:eastAsia="zh-CN"/>
        </w:rPr>
        <w:t>米（具体以设计图纸为准）</w:t>
      </w:r>
    </w:p>
    <w:p w14:paraId="17E5C290">
      <w:pPr>
        <w:spacing w:line="380" w:lineRule="exact"/>
        <w:ind w:firstLine="442" w:firstLineChars="200"/>
        <w:rPr>
          <w:rFonts w:ascii="宋体" w:hAnsi="宋体" w:cs="宋体"/>
          <w:color w:val="auto"/>
          <w:szCs w:val="21"/>
        </w:rPr>
      </w:pPr>
      <w:r>
        <w:rPr>
          <w:rFonts w:hint="eastAsia" w:ascii="宋体" w:hAnsi="宋体" w:eastAsia="宋体" w:cs="宋体"/>
          <w:b/>
          <w:color w:val="auto"/>
          <w:szCs w:val="21"/>
          <w:lang w:val="en-US" w:eastAsia="zh-CN"/>
        </w:rPr>
        <w:t>三</w:t>
      </w:r>
      <w:r>
        <w:rPr>
          <w:rFonts w:hint="eastAsia" w:ascii="宋体" w:hAnsi="宋体" w:cs="宋体"/>
          <w:b/>
          <w:color w:val="auto"/>
          <w:szCs w:val="21"/>
        </w:rPr>
        <w:t>、</w:t>
      </w:r>
      <w:r>
        <w:rPr>
          <w:rFonts w:hint="eastAsia" w:ascii="宋体" w:hAnsi="宋体" w:cs="宋体"/>
          <w:b/>
          <w:color w:val="auto"/>
          <w:szCs w:val="21"/>
          <w:lang w:val="en-US" w:eastAsia="zh-CN"/>
        </w:rPr>
        <w:t>勘察</w:t>
      </w:r>
      <w:r>
        <w:rPr>
          <w:rFonts w:hint="eastAsia" w:ascii="宋体" w:hAnsi="宋体" w:cs="宋体"/>
          <w:b/>
          <w:color w:val="auto"/>
          <w:szCs w:val="21"/>
        </w:rPr>
        <w:t>内容及要求</w:t>
      </w:r>
    </w:p>
    <w:p w14:paraId="44C08B4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44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本次详细勘察目的是详细查明建筑场地的岩土工程条件和水文地质条件，提出详细的岩土工程资料和设计、施工所需的岩土参数；对建筑地基做出岩土工程评价，并对地基类型、基础形式、地基处理、基坑支护、工程降水和不良地质作用的防治等提出建议，为地基基础设计、施工提供依据。主要任务如下：</w:t>
      </w:r>
    </w:p>
    <w:p w14:paraId="6F20528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44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1、搜集有坐标和地形的建筑总平面图，场区地面整平标高，建筑物性质、规模、荷载、结构特点，基础形式，埋置深度，地基允许变形等资料。</w:t>
      </w:r>
    </w:p>
    <w:p w14:paraId="4146208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44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2、根据需要搜集气象、水文和区域地质构造资料，查明场地的地形地貌特征。</w:t>
      </w:r>
    </w:p>
    <w:p w14:paraId="01A259C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44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3、查明场地内不良地质作用和地质灾害的类型、成因、分布范围、发展趋势和危害程度，提出整治方案的建议，并提供所需计算参数；评价场地的稳定性和建筑适宜性。</w:t>
      </w:r>
    </w:p>
    <w:p w14:paraId="14DD3BC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44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4、查明场地范围内岩土层的类型、成因、时代、深度、厚度、分布、工程特性，分析和评价地基的稳定性、均匀性，提供设计所需各岩土层的地基承载力特征值等技术参数。</w:t>
      </w:r>
    </w:p>
    <w:p w14:paraId="7D19538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44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5、查明埋藏河道、沟浜、墓穴、防空洞、孤石等对工程不利的埋藏物。</w:t>
      </w:r>
    </w:p>
    <w:p w14:paraId="433B54A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44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6、查明地下水类型、埋藏条件，提供地下水位及变化幅度，判定地下水及地基土对建筑材料腐蚀性及地下水对基础施工和建筑物使用的影响。</w:t>
      </w:r>
    </w:p>
    <w:p w14:paraId="4605261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44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7、论证采用天然地基基础形式的可行性，预测地基沉降和变形特征，提供有关基础设计所需的计算指标和变形计算所需的参数，并对设计与施工应注意的问题提出建议。</w:t>
      </w:r>
    </w:p>
    <w:p w14:paraId="2EB660D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44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8、对采用桩基础的可能性进行论证分析，提供可选的桩基类型和桩端持力层，提供桩基设计所需的岩土技术参数。评价成桩的可能性，论证桩的施工条件及其对环境的影响。</w:t>
      </w:r>
    </w:p>
    <w:p w14:paraId="6768024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44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9、对基坑工程进行分析评价，提出基坑开挖和支护方案建议。</w:t>
      </w:r>
    </w:p>
    <w:p w14:paraId="17225E3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440" w:firstLineChars="200"/>
        <w:jc w:val="left"/>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10、提供场地地震特征周期、加速度值，划分场地类别。</w:t>
      </w:r>
    </w:p>
    <w:p w14:paraId="1344F00A">
      <w:pPr>
        <w:spacing w:line="380" w:lineRule="exact"/>
        <w:ind w:firstLine="442" w:firstLineChars="200"/>
        <w:rPr>
          <w:rFonts w:hint="eastAsia" w:ascii="宋体" w:hAnsi="宋体" w:eastAsia="宋体" w:cs="宋体"/>
          <w:b/>
          <w:color w:val="auto"/>
          <w:szCs w:val="21"/>
          <w:lang w:val="en-US" w:eastAsia="zh-CN"/>
        </w:rPr>
      </w:pPr>
      <w:r>
        <w:rPr>
          <w:rFonts w:hint="eastAsia" w:ascii="宋体" w:hAnsi="宋体" w:eastAsia="宋体" w:cs="宋体"/>
          <w:b/>
          <w:color w:val="auto"/>
          <w:szCs w:val="21"/>
          <w:lang w:val="en-US" w:eastAsia="zh-CN"/>
        </w:rPr>
        <w:t>四、项目完成时间要求</w:t>
      </w:r>
    </w:p>
    <w:p w14:paraId="060886E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44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勘察中标通知书下发生效之日起30日内完成，并于45日内交付纸质版勘察成果报告。电子勘察成果报告在核定后需立即以邮件形式发送给甲方。本合同范围内的勘察工作，若本项目分期开发安排（由甲方根据现场施工进度安排另行通知）则分阶段开展。</w:t>
      </w:r>
    </w:p>
    <w:p w14:paraId="7098EC4E">
      <w:pPr>
        <w:spacing w:line="380" w:lineRule="exact"/>
        <w:ind w:firstLine="442" w:firstLineChars="200"/>
        <w:rPr>
          <w:rFonts w:hint="eastAsia" w:ascii="宋体" w:hAnsi="宋体" w:eastAsia="宋体" w:cs="宋体"/>
          <w:b/>
          <w:color w:val="auto"/>
          <w:szCs w:val="21"/>
          <w:lang w:val="en-US" w:eastAsia="zh-CN"/>
        </w:rPr>
      </w:pPr>
      <w:r>
        <w:rPr>
          <w:rFonts w:hint="eastAsia" w:ascii="宋体" w:hAnsi="宋体" w:eastAsia="宋体" w:cs="宋体"/>
          <w:b/>
          <w:color w:val="auto"/>
          <w:szCs w:val="21"/>
          <w:lang w:val="en-US" w:eastAsia="zh-CN"/>
        </w:rPr>
        <w:t>五、勘察成果资料要求</w:t>
      </w:r>
    </w:p>
    <w:p w14:paraId="74F181E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44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1、勘察成果报告电子文档（以光盘形式）2份；</w:t>
      </w:r>
    </w:p>
    <w:p w14:paraId="78B2E6B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44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2、勘察成果报告纸质报告2份。</w:t>
      </w:r>
    </w:p>
    <w:p w14:paraId="4F0E2BC4">
      <w:pPr>
        <w:spacing w:line="380" w:lineRule="exact"/>
        <w:ind w:firstLine="442" w:firstLineChars="200"/>
        <w:rPr>
          <w:rFonts w:hint="eastAsia" w:ascii="宋体" w:hAnsi="宋体" w:eastAsia="宋体" w:cs="宋体"/>
          <w:b/>
          <w:color w:val="auto"/>
          <w:szCs w:val="21"/>
          <w:lang w:val="en-US" w:eastAsia="zh-CN"/>
        </w:rPr>
      </w:pPr>
      <w:bookmarkStart w:id="67" w:name="_Toc1337680856"/>
      <w:r>
        <w:rPr>
          <w:rFonts w:hint="eastAsia" w:ascii="宋体" w:hAnsi="宋体" w:eastAsia="宋体" w:cs="宋体"/>
          <w:b/>
          <w:color w:val="auto"/>
          <w:szCs w:val="21"/>
          <w:lang w:val="en-US" w:eastAsia="zh-CN"/>
        </w:rPr>
        <w:t>六、</w:t>
      </w:r>
      <w:bookmarkEnd w:id="67"/>
      <w:r>
        <w:rPr>
          <w:rFonts w:hint="eastAsia" w:ascii="宋体" w:hAnsi="宋体" w:eastAsia="宋体" w:cs="宋体"/>
          <w:b/>
          <w:color w:val="auto"/>
          <w:szCs w:val="21"/>
          <w:lang w:val="en-US" w:eastAsia="zh-CN"/>
        </w:rPr>
        <w:t>勘察费支付方式</w:t>
      </w:r>
    </w:p>
    <w:p w14:paraId="5819138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440" w:firstLineChars="200"/>
        <w:jc w:val="left"/>
        <w:textAlignment w:val="auto"/>
        <w:rPr>
          <w:rFonts w:hint="eastAsia" w:asciiTheme="minorEastAsia" w:hAnsiTheme="minorEastAsia" w:eastAsiaTheme="minorEastAsia" w:cstheme="minorEastAsia"/>
          <w:color w:val="auto"/>
          <w:kern w:val="0"/>
          <w:sz w:val="24"/>
          <w:highlight w:val="none"/>
          <w:lang w:val="en-US" w:eastAsia="zh-CN"/>
        </w:rPr>
      </w:pPr>
      <w:r>
        <w:rPr>
          <w:rFonts w:hint="eastAsia" w:ascii="宋体" w:hAnsi="宋体" w:eastAsia="宋体" w:cs="宋体"/>
          <w:color w:val="auto"/>
          <w:szCs w:val="21"/>
          <w:highlight w:val="none"/>
          <w:lang w:val="en-US" w:eastAsia="zh-CN"/>
        </w:rPr>
        <w:t>勘察报告通过审查后且承包人按税法规定向发包人提供等额增值税发票及发包人要求的相关付款材料后,支付至合同价中勘察费的95%，剩余部分在项目基础验收合格后支付完成。</w:t>
      </w:r>
      <w:r>
        <w:rPr>
          <w:rFonts w:hint="eastAsia" w:asciiTheme="minorEastAsia" w:hAnsiTheme="minorEastAsia" w:eastAsiaTheme="minorEastAsia" w:cstheme="minorEastAsia"/>
          <w:color w:val="auto"/>
          <w:highlight w:val="none"/>
          <w:lang w:eastAsia="zh-CN"/>
        </w:rPr>
        <w:br w:type="page"/>
      </w:r>
    </w:p>
    <w:p w14:paraId="4E19DFF3">
      <w:pPr>
        <w:pStyle w:val="32"/>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pPr>
    </w:p>
    <w:p w14:paraId="2BB249B0">
      <w:pPr>
        <w:pStyle w:val="2"/>
        <w:ind w:left="0" w:right="116"/>
        <w:jc w:val="center"/>
        <w:rPr>
          <w:rFonts w:hint="eastAsia" w:asciiTheme="minorEastAsia" w:hAnsiTheme="minorEastAsia" w:eastAsiaTheme="minorEastAsia" w:cstheme="minorEastAsia"/>
          <w:b w:val="0"/>
          <w:bCs w:val="0"/>
          <w:color w:val="000000" w:themeColor="text1"/>
          <w:highlight w:val="none"/>
          <w:lang w:eastAsia="zh-CN"/>
          <w14:textFill>
            <w14:solidFill>
              <w14:schemeClr w14:val="tx1"/>
            </w14:solidFill>
          </w14:textFill>
        </w:rPr>
      </w:pPr>
      <w:bookmarkStart w:id="68" w:name="_Toc11415"/>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第</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六</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章</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磋商响应文件格式</w:t>
      </w:r>
      <w:bookmarkEnd w:id="66"/>
      <w:bookmarkEnd w:id="68"/>
    </w:p>
    <w:p w14:paraId="6493B817">
      <w:pPr>
        <w:rPr>
          <w:rFonts w:hint="eastAsia" w:asciiTheme="minorEastAsia" w:hAnsiTheme="minorEastAsia" w:eastAsiaTheme="minorEastAsia" w:cstheme="minorEastAsia"/>
          <w:b/>
          <w:bCs/>
          <w:color w:val="000000" w:themeColor="text1"/>
          <w:sz w:val="20"/>
          <w:szCs w:val="20"/>
          <w:highlight w:val="none"/>
          <w:lang w:eastAsia="zh-CN"/>
          <w14:textFill>
            <w14:solidFill>
              <w14:schemeClr w14:val="tx1"/>
            </w14:solidFill>
          </w14:textFill>
        </w:rPr>
      </w:pPr>
    </w:p>
    <w:p w14:paraId="0065799A">
      <w:pPr>
        <w:spacing w:before="9"/>
        <w:rPr>
          <w:rFonts w:hint="eastAsia" w:asciiTheme="minorEastAsia" w:hAnsiTheme="minorEastAsia" w:eastAsiaTheme="minorEastAsia" w:cstheme="minorEastAsia"/>
          <w:b/>
          <w:bCs/>
          <w:color w:val="000000" w:themeColor="text1"/>
          <w:sz w:val="20"/>
          <w:szCs w:val="20"/>
          <w:highlight w:val="none"/>
          <w:lang w:eastAsia="zh-CN"/>
          <w14:textFill>
            <w14:solidFill>
              <w14:schemeClr w14:val="tx1"/>
            </w14:solidFill>
          </w14:textFill>
        </w:rPr>
      </w:pPr>
    </w:p>
    <w:p w14:paraId="628042A1">
      <w:pPr>
        <w:spacing w:before="14"/>
        <w:ind w:right="117"/>
        <w:jc w:val="right"/>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pPr>
      <w:bookmarkStart w:id="69" w:name="_Toc22408"/>
      <w:bookmarkStart w:id="70" w:name="_Toc28248"/>
      <w:r>
        <w:rPr>
          <w:rFonts w:hint="eastAsia" w:asciiTheme="minorEastAsia" w:hAnsiTheme="minorEastAsia" w:eastAsiaTheme="minorEastAsia" w:cstheme="minorEastAsia"/>
          <w:color w:val="000000" w:themeColor="text1"/>
          <w:spacing w:val="-2"/>
          <w:sz w:val="28"/>
          <w:szCs w:val="28"/>
          <w:highlight w:val="none"/>
          <w:lang w:eastAsia="zh-CN"/>
          <w14:textFill>
            <w14:solidFill>
              <w14:schemeClr w14:val="tx1"/>
            </w14:solidFill>
          </w14:textFill>
        </w:rPr>
        <w:t>正本或副本</w:t>
      </w:r>
      <w:bookmarkEnd w:id="69"/>
      <w:bookmarkEnd w:id="70"/>
    </w:p>
    <w:p w14:paraId="0A3145DC">
      <w:pP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pPr>
    </w:p>
    <w:p w14:paraId="55F3D8C7">
      <w:pPr>
        <w:spacing w:line="360" w:lineRule="auto"/>
        <w:jc w:val="center"/>
        <w:rPr>
          <w:rFonts w:hint="eastAsia" w:asciiTheme="minorEastAsia" w:hAnsiTheme="minorEastAsia" w:eastAsiaTheme="minorEastAsia" w:cstheme="minorEastAsia"/>
          <w:b/>
          <w:bCs/>
          <w:color w:val="000000" w:themeColor="text1"/>
          <w:sz w:val="36"/>
          <w:szCs w:val="36"/>
          <w:highlight w:val="none"/>
          <w:lang w:eastAsia="zh-CN"/>
          <w14:textFill>
            <w14:solidFill>
              <w14:schemeClr w14:val="tx1"/>
            </w14:solidFill>
          </w14:textFill>
        </w:rPr>
      </w:pPr>
      <w:r>
        <w:rPr>
          <w:rFonts w:hint="eastAsia" w:ascii="宋体" w:hAnsi="宋体" w:cs="宋体"/>
          <w:b/>
          <w:color w:val="auto"/>
          <w:sz w:val="36"/>
          <w:szCs w:val="36"/>
          <w:highlight w:val="none"/>
          <w:lang w:val="en-US" w:eastAsia="zh-CN"/>
        </w:rPr>
        <w:t>1#学生宿舍项目工程勘察服务项目</w:t>
      </w:r>
      <w:r>
        <w:rPr>
          <w:rFonts w:hint="eastAsia" w:asciiTheme="minorEastAsia" w:hAnsiTheme="minorEastAsia" w:eastAsiaTheme="minorEastAsia" w:cstheme="minorEastAsia"/>
          <w:b/>
          <w:bCs/>
          <w:color w:val="000000" w:themeColor="text1"/>
          <w:sz w:val="36"/>
          <w:szCs w:val="36"/>
          <w:highlight w:val="none"/>
          <w:lang w:val="en-US" w:eastAsia="zh-CN"/>
          <w14:textFill>
            <w14:solidFill>
              <w14:schemeClr w14:val="tx1"/>
            </w14:solidFill>
          </w14:textFill>
        </w:rPr>
        <w:t xml:space="preserve"> </w:t>
      </w:r>
    </w:p>
    <w:p w14:paraId="621FB13C">
      <w:pPr>
        <w:spacing w:before="4"/>
        <w:rPr>
          <w:rFonts w:hint="eastAsia" w:asciiTheme="minorEastAsia" w:hAnsiTheme="minorEastAsia" w:eastAsiaTheme="minorEastAsia" w:cstheme="minorEastAsia"/>
          <w:b/>
          <w:bCs/>
          <w:color w:val="000000" w:themeColor="text1"/>
          <w:sz w:val="59"/>
          <w:szCs w:val="59"/>
          <w:highlight w:val="none"/>
          <w:lang w:eastAsia="zh-CN"/>
          <w14:textFill>
            <w14:solidFill>
              <w14:schemeClr w14:val="tx1"/>
            </w14:solidFill>
          </w14:textFill>
        </w:rPr>
      </w:pPr>
    </w:p>
    <w:p w14:paraId="723DBED7">
      <w:pPr>
        <w:pStyle w:val="10"/>
        <w:rPr>
          <w:rFonts w:hint="eastAsia" w:asciiTheme="minorEastAsia" w:hAnsiTheme="minorEastAsia" w:eastAsiaTheme="minorEastAsia" w:cstheme="minorEastAsia"/>
          <w:b/>
          <w:bCs/>
          <w:color w:val="000000" w:themeColor="text1"/>
          <w:sz w:val="59"/>
          <w:szCs w:val="59"/>
          <w:highlight w:val="none"/>
          <w:lang w:eastAsia="zh-CN"/>
          <w14:textFill>
            <w14:solidFill>
              <w14:schemeClr w14:val="tx1"/>
            </w14:solidFill>
          </w14:textFill>
        </w:rPr>
      </w:pPr>
    </w:p>
    <w:p w14:paraId="1AF32658">
      <w:pP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pPr>
    </w:p>
    <w:p w14:paraId="5ADA6B1E">
      <w:pPr>
        <w:ind w:left="390" w:right="389"/>
        <w:jc w:val="center"/>
        <w:rPr>
          <w:rFonts w:hint="eastAsia" w:asciiTheme="minorEastAsia" w:hAnsiTheme="minorEastAsia" w:eastAsiaTheme="minorEastAsia" w:cstheme="minorEastAsia"/>
          <w:color w:val="000000" w:themeColor="text1"/>
          <w:sz w:val="70"/>
          <w:szCs w:val="70"/>
          <w:highlight w:val="none"/>
          <w:lang w:eastAsia="zh-CN"/>
          <w14:textFill>
            <w14:solidFill>
              <w14:schemeClr w14:val="tx1"/>
            </w14:solidFill>
          </w14:textFill>
        </w:rPr>
      </w:pPr>
      <w:bookmarkStart w:id="71" w:name="_Toc15992"/>
      <w:bookmarkStart w:id="72" w:name="_Toc28840"/>
      <w:r>
        <w:rPr>
          <w:rFonts w:hint="eastAsia" w:asciiTheme="minorEastAsia" w:hAnsiTheme="minorEastAsia" w:eastAsiaTheme="minorEastAsia" w:cstheme="minorEastAsia"/>
          <w:b/>
          <w:bCs/>
          <w:color w:val="000000" w:themeColor="text1"/>
          <w:sz w:val="70"/>
          <w:szCs w:val="70"/>
          <w:highlight w:val="none"/>
          <w:lang w:eastAsia="zh-CN"/>
          <w14:textFill>
            <w14:solidFill>
              <w14:schemeClr w14:val="tx1"/>
            </w14:solidFill>
          </w14:textFill>
        </w:rPr>
        <w:t>磋商响应文件</w:t>
      </w:r>
      <w:bookmarkEnd w:id="71"/>
      <w:bookmarkEnd w:id="72"/>
    </w:p>
    <w:p w14:paraId="79521038">
      <w:pPr>
        <w:rPr>
          <w:rFonts w:hint="eastAsia" w:asciiTheme="minorEastAsia" w:hAnsiTheme="minorEastAsia" w:eastAsiaTheme="minorEastAsia" w:cstheme="minorEastAsia"/>
          <w:color w:val="000000" w:themeColor="text1"/>
          <w:sz w:val="30"/>
          <w:szCs w:val="30"/>
          <w:highlight w:val="none"/>
          <w:lang w:eastAsia="zh-CN"/>
          <w14:textFill>
            <w14:solidFill>
              <w14:schemeClr w14:val="tx1"/>
            </w14:solidFill>
          </w14:textFill>
        </w:rPr>
      </w:pPr>
    </w:p>
    <w:p w14:paraId="578B5C9B">
      <w:pPr>
        <w:rPr>
          <w:rFonts w:hint="eastAsia" w:asciiTheme="minorEastAsia" w:hAnsiTheme="minorEastAsia" w:eastAsiaTheme="minorEastAsia" w:cstheme="minorEastAsia"/>
          <w:color w:val="000000" w:themeColor="text1"/>
          <w:sz w:val="30"/>
          <w:szCs w:val="30"/>
          <w:highlight w:val="none"/>
          <w:lang w:eastAsia="zh-CN"/>
          <w14:textFill>
            <w14:solidFill>
              <w14:schemeClr w14:val="tx1"/>
            </w14:solidFill>
          </w14:textFill>
        </w:rPr>
      </w:pPr>
    </w:p>
    <w:p w14:paraId="671FBABB">
      <w:pPr>
        <w:rPr>
          <w:rFonts w:hint="eastAsia" w:asciiTheme="minorEastAsia" w:hAnsiTheme="minorEastAsia" w:eastAsiaTheme="minorEastAsia" w:cstheme="minorEastAsia"/>
          <w:color w:val="000000" w:themeColor="text1"/>
          <w:sz w:val="30"/>
          <w:szCs w:val="30"/>
          <w:highlight w:val="none"/>
          <w:lang w:eastAsia="zh-CN"/>
          <w14:textFill>
            <w14:solidFill>
              <w14:schemeClr w14:val="tx1"/>
            </w14:solidFill>
          </w14:textFill>
        </w:rPr>
      </w:pPr>
    </w:p>
    <w:p w14:paraId="05C2A2D0">
      <w:pPr>
        <w:rPr>
          <w:rFonts w:hint="eastAsia" w:asciiTheme="minorEastAsia" w:hAnsiTheme="minorEastAsia" w:eastAsiaTheme="minorEastAsia" w:cstheme="minorEastAsia"/>
          <w:color w:val="000000" w:themeColor="text1"/>
          <w:sz w:val="30"/>
          <w:szCs w:val="30"/>
          <w:highlight w:val="none"/>
          <w:lang w:eastAsia="zh-CN"/>
          <w14:textFill>
            <w14:solidFill>
              <w14:schemeClr w14:val="tx1"/>
            </w14:solidFill>
          </w14:textFill>
        </w:rPr>
      </w:pPr>
    </w:p>
    <w:p w14:paraId="16DB0A7B">
      <w:pPr>
        <w:rPr>
          <w:rFonts w:hint="eastAsia" w:asciiTheme="minorEastAsia" w:hAnsiTheme="minorEastAsia" w:eastAsiaTheme="minorEastAsia" w:cstheme="minorEastAsia"/>
          <w:color w:val="000000" w:themeColor="text1"/>
          <w:sz w:val="30"/>
          <w:szCs w:val="30"/>
          <w:highlight w:val="none"/>
          <w:lang w:eastAsia="zh-CN"/>
          <w14:textFill>
            <w14:solidFill>
              <w14:schemeClr w14:val="tx1"/>
            </w14:solidFill>
          </w14:textFill>
        </w:rPr>
      </w:pPr>
    </w:p>
    <w:p w14:paraId="2105E3B5">
      <w:pPr>
        <w:rPr>
          <w:rFonts w:hint="eastAsia" w:asciiTheme="minorEastAsia" w:hAnsiTheme="minorEastAsia" w:eastAsiaTheme="minorEastAsia" w:cstheme="minorEastAsia"/>
          <w:color w:val="000000" w:themeColor="text1"/>
          <w:sz w:val="30"/>
          <w:szCs w:val="30"/>
          <w:highlight w:val="none"/>
          <w:lang w:eastAsia="zh-CN"/>
          <w14:textFill>
            <w14:solidFill>
              <w14:schemeClr w14:val="tx1"/>
            </w14:solidFill>
          </w14:textFill>
        </w:rPr>
      </w:pPr>
    </w:p>
    <w:p w14:paraId="171CBA07">
      <w:pPr>
        <w:rPr>
          <w:rFonts w:hint="eastAsia" w:asciiTheme="minorEastAsia" w:hAnsiTheme="minorEastAsia" w:eastAsiaTheme="minorEastAsia" w:cstheme="minorEastAsia"/>
          <w:color w:val="000000" w:themeColor="text1"/>
          <w:sz w:val="30"/>
          <w:szCs w:val="30"/>
          <w:highlight w:val="none"/>
          <w:lang w:eastAsia="zh-CN"/>
          <w14:textFill>
            <w14:solidFill>
              <w14:schemeClr w14:val="tx1"/>
            </w14:solidFill>
          </w14:textFill>
        </w:rPr>
      </w:pPr>
    </w:p>
    <w:p w14:paraId="0F6EADD1">
      <w:pPr>
        <w:rPr>
          <w:rFonts w:hint="eastAsia" w:asciiTheme="minorEastAsia" w:hAnsiTheme="minorEastAsia" w:eastAsiaTheme="minorEastAsia" w:cstheme="minorEastAsia"/>
          <w:color w:val="000000" w:themeColor="text1"/>
          <w:sz w:val="30"/>
          <w:szCs w:val="30"/>
          <w:highlight w:val="none"/>
          <w:lang w:eastAsia="zh-CN"/>
          <w14:textFill>
            <w14:solidFill>
              <w14:schemeClr w14:val="tx1"/>
            </w14:solidFill>
          </w14:textFill>
        </w:rPr>
      </w:pPr>
    </w:p>
    <w:p w14:paraId="1BBC6E13">
      <w:pPr>
        <w:rPr>
          <w:rFonts w:hint="eastAsia" w:asciiTheme="minorEastAsia" w:hAnsiTheme="minorEastAsia" w:eastAsiaTheme="minorEastAsia" w:cstheme="minorEastAsia"/>
          <w:color w:val="000000" w:themeColor="text1"/>
          <w:sz w:val="30"/>
          <w:szCs w:val="30"/>
          <w:highlight w:val="none"/>
          <w:lang w:eastAsia="zh-CN"/>
          <w14:textFill>
            <w14:solidFill>
              <w14:schemeClr w14:val="tx1"/>
            </w14:solidFill>
          </w14:textFill>
        </w:rPr>
      </w:pPr>
    </w:p>
    <w:p w14:paraId="2CA11C76">
      <w:pPr>
        <w:tabs>
          <w:tab w:val="left" w:pos="3231"/>
          <w:tab w:val="left" w:pos="4431"/>
          <w:tab w:val="left" w:pos="5631"/>
          <w:tab w:val="left" w:pos="6531"/>
          <w:tab w:val="left" w:pos="7431"/>
        </w:tabs>
        <w:spacing w:line="360" w:lineRule="auto"/>
        <w:ind w:firstLine="1639" w:firstLineChars="550"/>
        <w:jc w:val="both"/>
        <w:rPr>
          <w:rFonts w:hint="eastAsia" w:asciiTheme="minorEastAsia" w:hAnsiTheme="minorEastAsia" w:eastAsiaTheme="minorEastAsia" w:cstheme="minorEastAsia"/>
          <w:color w:val="000000" w:themeColor="text1"/>
          <w:sz w:val="30"/>
          <w:szCs w:val="30"/>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1"/>
          <w:sz w:val="30"/>
          <w:szCs w:val="30"/>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pacing w:val="-1"/>
          <w:sz w:val="30"/>
          <w:szCs w:val="30"/>
          <w:highlight w:val="none"/>
          <w:u w:val="single" w:color="000000"/>
          <w:lang w:eastAsia="zh-CN"/>
          <w14:textFill>
            <w14:solidFill>
              <w14:schemeClr w14:val="tx1"/>
            </w14:solidFill>
          </w14:textFill>
        </w:rPr>
        <w:tab/>
      </w:r>
      <w:r>
        <w:rPr>
          <w:rFonts w:hint="eastAsia" w:asciiTheme="minorEastAsia" w:hAnsiTheme="minorEastAsia" w:eastAsiaTheme="minorEastAsia" w:cstheme="minorEastAsia"/>
          <w:color w:val="000000" w:themeColor="text1"/>
          <w:spacing w:val="-1"/>
          <w:sz w:val="30"/>
          <w:szCs w:val="30"/>
          <w:highlight w:val="none"/>
          <w:u w:val="single" w:color="000000"/>
          <w:lang w:eastAsia="zh-CN"/>
          <w14:textFill>
            <w14:solidFill>
              <w14:schemeClr w14:val="tx1"/>
            </w14:solidFill>
          </w14:textFill>
        </w:rPr>
        <w:tab/>
      </w:r>
      <w:r>
        <w:rPr>
          <w:rFonts w:hint="eastAsia" w:asciiTheme="minorEastAsia" w:hAnsiTheme="minorEastAsia" w:eastAsiaTheme="minorEastAsia" w:cstheme="minorEastAsia"/>
          <w:color w:val="000000" w:themeColor="text1"/>
          <w:spacing w:val="-1"/>
          <w:sz w:val="30"/>
          <w:szCs w:val="30"/>
          <w:highlight w:val="none"/>
          <w:u w:val="single" w:color="000000"/>
          <w:lang w:eastAsia="zh-CN"/>
          <w14:textFill>
            <w14:solidFill>
              <w14:schemeClr w14:val="tx1"/>
            </w14:solidFill>
          </w14:textFill>
        </w:rPr>
        <w:tab/>
      </w:r>
      <w:r>
        <w:rPr>
          <w:rFonts w:hint="eastAsia" w:asciiTheme="minorEastAsia" w:hAnsiTheme="minorEastAsia" w:eastAsiaTheme="minorEastAsia" w:cstheme="minorEastAsia"/>
          <w:color w:val="000000" w:themeColor="text1"/>
          <w:sz w:val="30"/>
          <w:szCs w:val="30"/>
          <w:highlight w:val="none"/>
          <w:lang w:eastAsia="zh-CN"/>
          <w14:textFill>
            <w14:solidFill>
              <w14:schemeClr w14:val="tx1"/>
            </w14:solidFill>
          </w14:textFill>
        </w:rPr>
        <w:t>（盖单位公章）</w:t>
      </w:r>
    </w:p>
    <w:p w14:paraId="4DAD142E">
      <w:pPr>
        <w:tabs>
          <w:tab w:val="left" w:pos="3231"/>
          <w:tab w:val="left" w:pos="4431"/>
          <w:tab w:val="left" w:pos="5631"/>
          <w:tab w:val="left" w:pos="6531"/>
          <w:tab w:val="left" w:pos="7431"/>
        </w:tabs>
        <w:spacing w:line="360" w:lineRule="auto"/>
        <w:ind w:firstLine="1639" w:firstLineChars="550"/>
        <w:jc w:val="both"/>
        <w:rPr>
          <w:rFonts w:hint="eastAsia" w:asciiTheme="minorEastAsia" w:hAnsiTheme="minorEastAsia" w:eastAsiaTheme="minorEastAsia" w:cstheme="minorEastAsia"/>
          <w:color w:val="000000" w:themeColor="text1"/>
          <w:sz w:val="30"/>
          <w:szCs w:val="30"/>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1"/>
          <w:sz w:val="30"/>
          <w:szCs w:val="30"/>
          <w:highlight w:val="none"/>
          <w:lang w:eastAsia="zh-CN"/>
          <w14:textFill>
            <w14:solidFill>
              <w14:schemeClr w14:val="tx1"/>
            </w14:solidFill>
          </w14:textFill>
        </w:rPr>
        <w:t>法定代表人或委托代理人：</w:t>
      </w:r>
      <w:r>
        <w:rPr>
          <w:rFonts w:hint="eastAsia" w:asciiTheme="minorEastAsia" w:hAnsiTheme="minorEastAsia" w:eastAsiaTheme="minorEastAsia" w:cstheme="minorEastAsia"/>
          <w:color w:val="000000" w:themeColor="text1"/>
          <w:spacing w:val="-1"/>
          <w:sz w:val="30"/>
          <w:szCs w:val="30"/>
          <w:highlight w:val="none"/>
          <w:u w:val="single" w:color="000000"/>
          <w:lang w:eastAsia="zh-CN"/>
          <w14:textFill>
            <w14:solidFill>
              <w14:schemeClr w14:val="tx1"/>
            </w14:solidFill>
          </w14:textFill>
        </w:rPr>
        <w:tab/>
      </w:r>
      <w:r>
        <w:rPr>
          <w:rFonts w:hint="eastAsia" w:asciiTheme="minorEastAsia" w:hAnsiTheme="minorEastAsia" w:eastAsiaTheme="minorEastAsia" w:cstheme="minorEastAsia"/>
          <w:color w:val="000000" w:themeColor="text1"/>
          <w:spacing w:val="-1"/>
          <w:sz w:val="30"/>
          <w:szCs w:val="30"/>
          <w:highlight w:val="none"/>
          <w:u w:val="single" w:color="000000"/>
          <w:lang w:eastAsia="zh-CN"/>
          <w14:textFill>
            <w14:solidFill>
              <w14:schemeClr w14:val="tx1"/>
            </w14:solidFill>
          </w14:textFill>
        </w:rPr>
        <w:tab/>
      </w:r>
      <w:r>
        <w:rPr>
          <w:rFonts w:hint="eastAsia" w:asciiTheme="minorEastAsia" w:hAnsiTheme="minorEastAsia" w:eastAsiaTheme="minorEastAsia" w:cstheme="minorEastAsia"/>
          <w:color w:val="000000" w:themeColor="text1"/>
          <w:spacing w:val="-1"/>
          <w:sz w:val="30"/>
          <w:szCs w:val="30"/>
          <w:highlight w:val="none"/>
          <w:u w:val="none" w:color="auto"/>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30"/>
          <w:szCs w:val="30"/>
          <w:highlight w:val="none"/>
          <w:lang w:eastAsia="zh-CN"/>
          <w14:textFill>
            <w14:solidFill>
              <w14:schemeClr w14:val="tx1"/>
            </w14:solidFill>
          </w14:textFill>
        </w:rPr>
        <w:t>签字）</w:t>
      </w:r>
    </w:p>
    <w:p w14:paraId="2DF2CD94">
      <w:pPr>
        <w:tabs>
          <w:tab w:val="left" w:pos="3231"/>
          <w:tab w:val="left" w:pos="4431"/>
          <w:tab w:val="left" w:pos="5631"/>
          <w:tab w:val="left" w:pos="6531"/>
          <w:tab w:val="left" w:pos="7431"/>
        </w:tabs>
        <w:spacing w:line="360" w:lineRule="auto"/>
        <w:ind w:firstLine="1639" w:firstLineChars="550"/>
        <w:jc w:val="both"/>
        <w:rPr>
          <w:rFonts w:hint="eastAsia" w:asciiTheme="minorEastAsia" w:hAnsiTheme="minorEastAsia" w:eastAsiaTheme="minorEastAsia" w:cstheme="minorEastAsia"/>
          <w:color w:val="000000" w:themeColor="text1"/>
          <w:sz w:val="30"/>
          <w:szCs w:val="3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
          <w:sz w:val="30"/>
          <w:szCs w:val="30"/>
          <w:highlight w:val="none"/>
          <w14:textFill>
            <w14:solidFill>
              <w14:schemeClr w14:val="tx1"/>
            </w14:solidFill>
          </w14:textFill>
        </w:rPr>
        <w:t>日期：</w:t>
      </w:r>
      <w:r>
        <w:rPr>
          <w:rFonts w:hint="eastAsia" w:asciiTheme="minorEastAsia" w:hAnsiTheme="minorEastAsia" w:eastAsiaTheme="minorEastAsia" w:cstheme="minorEastAsia"/>
          <w:color w:val="000000" w:themeColor="text1"/>
          <w:spacing w:val="-1"/>
          <w:sz w:val="30"/>
          <w:szCs w:val="30"/>
          <w:highlight w:val="none"/>
          <w:u w:val="single" w:color="000000"/>
          <w14:textFill>
            <w14:solidFill>
              <w14:schemeClr w14:val="tx1"/>
            </w14:solidFill>
          </w14:textFill>
        </w:rPr>
        <w:tab/>
      </w:r>
      <w:r>
        <w:rPr>
          <w:rFonts w:hint="eastAsia" w:asciiTheme="minorEastAsia" w:hAnsiTheme="minorEastAsia" w:eastAsiaTheme="minorEastAsia" w:cstheme="minorEastAsia"/>
          <w:color w:val="000000" w:themeColor="text1"/>
          <w:spacing w:val="-1"/>
          <w:sz w:val="30"/>
          <w:szCs w:val="30"/>
          <w:highlight w:val="none"/>
          <w14:textFill>
            <w14:solidFill>
              <w14:schemeClr w14:val="tx1"/>
            </w14:solidFill>
          </w14:textFill>
        </w:rPr>
        <w:t>年</w:t>
      </w:r>
      <w:r>
        <w:rPr>
          <w:rFonts w:hint="eastAsia" w:asciiTheme="minorEastAsia" w:hAnsiTheme="minorEastAsia" w:eastAsiaTheme="minorEastAsia" w:cstheme="minorEastAsia"/>
          <w:color w:val="000000" w:themeColor="text1"/>
          <w:spacing w:val="-1"/>
          <w:sz w:val="30"/>
          <w:szCs w:val="30"/>
          <w:highlight w:val="none"/>
          <w:u w:val="single" w:color="000000"/>
          <w14:textFill>
            <w14:solidFill>
              <w14:schemeClr w14:val="tx1"/>
            </w14:solidFill>
          </w14:textFill>
        </w:rPr>
        <w:tab/>
      </w:r>
      <w:r>
        <w:rPr>
          <w:rFonts w:hint="eastAsia" w:asciiTheme="minorEastAsia" w:hAnsiTheme="minorEastAsia" w:eastAsiaTheme="minorEastAsia" w:cstheme="minorEastAsia"/>
          <w:color w:val="000000" w:themeColor="text1"/>
          <w:spacing w:val="-1"/>
          <w:sz w:val="30"/>
          <w:szCs w:val="30"/>
          <w:highlight w:val="none"/>
          <w14:textFill>
            <w14:solidFill>
              <w14:schemeClr w14:val="tx1"/>
            </w14:solidFill>
          </w14:textFill>
        </w:rPr>
        <w:t>月</w:t>
      </w:r>
      <w:r>
        <w:rPr>
          <w:rFonts w:hint="eastAsia" w:asciiTheme="minorEastAsia" w:hAnsiTheme="minorEastAsia" w:eastAsiaTheme="minorEastAsia" w:cstheme="minorEastAsia"/>
          <w:color w:val="000000" w:themeColor="text1"/>
          <w:spacing w:val="-1"/>
          <w:sz w:val="30"/>
          <w:szCs w:val="30"/>
          <w:highlight w:val="none"/>
          <w:u w:val="single" w:color="000000"/>
          <w14:textFill>
            <w14:solidFill>
              <w14:schemeClr w14:val="tx1"/>
            </w14:solidFill>
          </w14:textFill>
        </w:rPr>
        <w:tab/>
      </w:r>
      <w:r>
        <w:rPr>
          <w:rFonts w:hint="eastAsia" w:asciiTheme="minorEastAsia" w:hAnsiTheme="minorEastAsia" w:eastAsiaTheme="minorEastAsia" w:cstheme="minorEastAsia"/>
          <w:color w:val="000000" w:themeColor="text1"/>
          <w:sz w:val="30"/>
          <w:szCs w:val="30"/>
          <w:highlight w:val="none"/>
          <w14:textFill>
            <w14:solidFill>
              <w14:schemeClr w14:val="tx1"/>
            </w14:solidFill>
          </w14:textFill>
        </w:rPr>
        <w:t>日</w:t>
      </w:r>
    </w:p>
    <w:p w14:paraId="6C909F42">
      <w:pPr>
        <w:spacing w:line="357" w:lineRule="auto"/>
        <w:jc w:val="both"/>
        <w:rPr>
          <w:rFonts w:hint="eastAsia" w:asciiTheme="minorEastAsia" w:hAnsiTheme="minorEastAsia" w:eastAsiaTheme="minorEastAsia" w:cstheme="minorEastAsia"/>
          <w:color w:val="000000" w:themeColor="text1"/>
          <w:sz w:val="30"/>
          <w:szCs w:val="30"/>
          <w:highlight w:val="none"/>
          <w14:textFill>
            <w14:solidFill>
              <w14:schemeClr w14:val="tx1"/>
            </w14:solidFill>
          </w14:textFill>
        </w:rPr>
        <w:sectPr>
          <w:headerReference r:id="rId5" w:type="default"/>
          <w:footerReference r:id="rId6" w:type="default"/>
          <w:pgSz w:w="11910" w:h="16850"/>
          <w:pgMar w:top="1440" w:right="1800" w:bottom="1440" w:left="1800" w:header="0" w:footer="1518" w:gutter="0"/>
          <w:pgBorders>
            <w:top w:val="none" w:sz="0" w:space="0"/>
            <w:left w:val="none" w:sz="0" w:space="0"/>
            <w:bottom w:val="none" w:sz="0" w:space="0"/>
            <w:right w:val="none" w:sz="0" w:space="0"/>
          </w:pgBorders>
          <w:pgNumType w:fmt="decimal"/>
          <w:cols w:space="720" w:num="1"/>
        </w:sectPr>
      </w:pPr>
    </w:p>
    <w:p w14:paraId="60DB8119">
      <w:pPr>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bookmarkStart w:id="73" w:name="一、磋商函及开标一览表"/>
      <w:bookmarkEnd w:id="73"/>
      <w:r>
        <w:rPr>
          <w:rFonts w:hint="eastAsia" w:asciiTheme="minorEastAsia" w:hAnsiTheme="minorEastAsia" w:eastAsiaTheme="minorEastAsia" w:cstheme="minorEastAsia"/>
          <w:color w:val="000000" w:themeColor="text1"/>
          <w:sz w:val="2"/>
          <w:szCs w:val="2"/>
          <w:highlight w:val="none"/>
          <w14:textFill>
            <w14:solidFill>
              <w14:schemeClr w14:val="tx1"/>
            </w14:solidFill>
          </w14:textFill>
        </w:rPr>
        <mc:AlternateContent>
          <mc:Choice Requires="wpg">
            <w:drawing>
              <wp:inline distT="0" distB="0" distL="114300" distR="114300">
                <wp:extent cx="34925" cy="9525"/>
                <wp:effectExtent l="0" t="0" r="0" b="0"/>
                <wp:docPr id="6" name="组合 107"/>
                <wp:cNvGraphicFramePr/>
                <a:graphic xmlns:a="http://schemas.openxmlformats.org/drawingml/2006/main">
                  <a:graphicData uri="http://schemas.microsoft.com/office/word/2010/wordprocessingGroup">
                    <wpg:wgp>
                      <wpg:cNvGrpSpPr/>
                      <wpg:grpSpPr>
                        <a:xfrm>
                          <a:off x="0" y="0"/>
                          <a:ext cx="34925" cy="9525"/>
                          <a:chOff x="0" y="0"/>
                          <a:chExt cx="55" cy="15203"/>
                        </a:xfrm>
                      </wpg:grpSpPr>
                      <wpg:grpSp>
                        <wpg:cNvPr id="5" name="组合 108"/>
                        <wpg:cNvGrpSpPr/>
                        <wpg:grpSpPr>
                          <a:xfrm>
                            <a:off x="7" y="7"/>
                            <a:ext cx="40" cy="2"/>
                            <a:chOff x="7" y="7"/>
                            <a:chExt cx="40" cy="2"/>
                          </a:xfrm>
                        </wpg:grpSpPr>
                        <wps:wsp>
                          <wps:cNvPr id="4" name="任意多边形 109"/>
                          <wps:cNvSpPr/>
                          <wps:spPr>
                            <a:xfrm>
                              <a:off x="7" y="7"/>
                              <a:ext cx="40" cy="2"/>
                            </a:xfrm>
                            <a:custGeom>
                              <a:avLst/>
                              <a:gdLst/>
                              <a:ahLst/>
                              <a:cxnLst/>
                              <a:pathLst>
                                <a:path w="40" h="1">
                                  <a:moveTo>
                                    <a:pt x="0" y="0"/>
                                  </a:moveTo>
                                  <a:lnTo>
                                    <a:pt x="40" y="0"/>
                                  </a:lnTo>
                                </a:path>
                              </a:pathLst>
                            </a:custGeom>
                            <a:noFill/>
                            <a:ln w="9144" cap="flat" cmpd="sng">
                              <a:solidFill>
                                <a:srgbClr val="000000"/>
                              </a:solidFill>
                              <a:prstDash val="solid"/>
                              <a:round/>
                              <a:headEnd type="none" w="med" len="med"/>
                              <a:tailEnd type="none" w="med" len="med"/>
                            </a:ln>
                          </wps:spPr>
                          <wps:bodyPr upright="1"/>
                        </wps:wsp>
                      </wpg:grpSp>
                    </wpg:wgp>
                  </a:graphicData>
                </a:graphic>
              </wp:inline>
            </w:drawing>
          </mc:Choice>
          <mc:Fallback>
            <w:pict>
              <v:group id="组合 107" o:spid="_x0000_s1026" o:spt="203" style="height:0.75pt;width:2.75pt;" coordsize="55,15203" o:gfxdata="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">
                <o:lock v:ext="edit" aspectratio="f"/>
                <v:group id="组合 108" o:spid="_x0000_s1026" o:spt="203" style="position:absolute;left:7;top:7;height:2;width:40;" coordorigin="7,7" coordsize="40,2" o:gfxdata="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HTySXu7AAAA2gAAAA8AAAAAAAAAAQAgAAAAIgAAAGRycy9kb3ducmV2LnhtbFBL&#10;AQIUABQAAAAIAIdO4kAzLwWeOwAAADkAAAAVAAAAAAAAAAEAIAAAAAoBAABkcnMvZ3JvdXBzaGFw&#10;ZXhtbC54bWxQSwUGAAAAAAYABgBgAQAAxwMAAAAA&#10;">
                  <o:lock v:ext="edit" aspectratio="f"/>
                  <v:shape id="任意多边形 109" o:spid="_x0000_s1026" o:spt="100" style="position:absolute;left:7;top:7;height:2;width:40;" filled="f" stroked="t" coordsize="40,1" o:gfxdata="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gRibatwAAANoAAAAP&#10;AAAAAAAAAAEAIAAAACIAAABkcnMvZG93bnJldi54bWxQSwECFAAUAAAACACHTuJAMy8FnjsAAAA5&#10;AAAAEAAAAAAAAAABACAAAAAGAQAAZHJzL3NoYXBleG1sLnhtbFBLBQYAAAAABgAGAFsBAACwAwAA&#10;AAA=&#10;" path="m0,0l40,0e">
                    <v:fill on="f" focussize="0,0"/>
                    <v:stroke weight="0.72pt" color="#000000" joinstyle="round"/>
                    <v:imagedata o:title=""/>
                    <o:lock v:ext="edit" aspectratio="f"/>
                  </v:shape>
                </v:group>
                <w10:wrap type="none"/>
                <w10:anchorlock/>
              </v:group>
            </w:pict>
          </mc:Fallback>
        </mc:AlternateContent>
      </w:r>
      <w:bookmarkStart w:id="74" w:name="_Toc179632807"/>
      <w:bookmarkStart w:id="75" w:name="_Toc246997098"/>
      <w:bookmarkStart w:id="76" w:name="_Toc144974856"/>
      <w:bookmarkStart w:id="77" w:name="_Toc246996355"/>
      <w:bookmarkStart w:id="78" w:name="_Toc152045787"/>
      <w:bookmarkStart w:id="79" w:name="_Toc152042576"/>
      <w:bookmarkStart w:id="80" w:name="_Toc247085873"/>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目    录</w:t>
      </w:r>
      <w:bookmarkEnd w:id="74"/>
      <w:bookmarkEnd w:id="75"/>
      <w:bookmarkEnd w:id="76"/>
      <w:bookmarkEnd w:id="77"/>
      <w:bookmarkEnd w:id="78"/>
      <w:bookmarkEnd w:id="79"/>
      <w:bookmarkEnd w:id="80"/>
    </w:p>
    <w:p w14:paraId="0E3951D2">
      <w:pPr>
        <w:pStyle w:val="10"/>
        <w:spacing w:before="0" w:line="360" w:lineRule="auto"/>
        <w:ind w:left="0" w:leftChars="0" w:firstLine="600" w:firstLineChars="200"/>
        <w:rPr>
          <w:rFonts w:hint="eastAsia" w:asciiTheme="minorEastAsia" w:hAnsiTheme="minorEastAsia" w:eastAsiaTheme="minorEastAsia" w:cstheme="minorEastAsia"/>
          <w:color w:val="000000" w:themeColor="text1"/>
          <w:sz w:val="30"/>
          <w:szCs w:val="30"/>
          <w:highlight w:val="none"/>
          <w:lang w:eastAsia="zh-CN"/>
          <w14:textFill>
            <w14:solidFill>
              <w14:schemeClr w14:val="tx1"/>
            </w14:solidFill>
          </w14:textFill>
        </w:rPr>
      </w:pPr>
      <w:bookmarkStart w:id="81" w:name="_Toc420868150"/>
      <w:bookmarkStart w:id="82" w:name="_Toc22753"/>
      <w:bookmarkStart w:id="83" w:name="_Toc152045788"/>
      <w:bookmarkStart w:id="84" w:name="_Toc144974857"/>
      <w:bookmarkStart w:id="85" w:name="_Toc246996356"/>
      <w:bookmarkStart w:id="86" w:name="_Toc247085874"/>
      <w:bookmarkStart w:id="87" w:name="_Toc15606"/>
      <w:bookmarkStart w:id="88" w:name="_Toc13656"/>
      <w:bookmarkStart w:id="89" w:name="_Toc152042577"/>
      <w:bookmarkStart w:id="90" w:name="_Toc5998"/>
      <w:bookmarkStart w:id="91" w:name="_Toc246997099"/>
      <w:bookmarkStart w:id="92" w:name="_Toc179632808"/>
      <w:r>
        <w:rPr>
          <w:rFonts w:hint="eastAsia" w:asciiTheme="minorEastAsia" w:hAnsiTheme="minorEastAsia" w:eastAsiaTheme="minorEastAsia" w:cstheme="minorEastAsia"/>
          <w:color w:val="000000" w:themeColor="text1"/>
          <w:sz w:val="30"/>
          <w:szCs w:val="30"/>
          <w:highlight w:val="none"/>
          <w:lang w:eastAsia="zh-CN"/>
          <w14:textFill>
            <w14:solidFill>
              <w14:schemeClr w14:val="tx1"/>
            </w14:solidFill>
          </w14:textFill>
        </w:rPr>
        <w:t>一、</w:t>
      </w:r>
      <w:r>
        <w:rPr>
          <w:rFonts w:hint="eastAsia" w:asciiTheme="minorEastAsia" w:hAnsiTheme="minorEastAsia" w:eastAsiaTheme="minorEastAsia" w:cstheme="minorEastAsia"/>
          <w:color w:val="000000" w:themeColor="text1"/>
          <w:sz w:val="30"/>
          <w:szCs w:val="30"/>
          <w:highlight w:val="none"/>
          <w:lang w:val="en-US" w:eastAsia="zh-CN"/>
          <w14:textFill>
            <w14:solidFill>
              <w14:schemeClr w14:val="tx1"/>
            </w14:solidFill>
          </w14:textFill>
        </w:rPr>
        <w:t>竞标</w:t>
      </w:r>
      <w:r>
        <w:rPr>
          <w:rFonts w:hint="eastAsia" w:asciiTheme="minorEastAsia" w:hAnsiTheme="minorEastAsia" w:eastAsiaTheme="minorEastAsia" w:cstheme="minorEastAsia"/>
          <w:color w:val="000000" w:themeColor="text1"/>
          <w:sz w:val="30"/>
          <w:szCs w:val="30"/>
          <w:highlight w:val="none"/>
          <w:lang w:eastAsia="zh-CN"/>
          <w14:textFill>
            <w14:solidFill>
              <w14:schemeClr w14:val="tx1"/>
            </w14:solidFill>
          </w14:textFill>
        </w:rPr>
        <w:t>函</w:t>
      </w:r>
    </w:p>
    <w:p w14:paraId="3EFD989A">
      <w:pPr>
        <w:pStyle w:val="10"/>
        <w:spacing w:before="0" w:line="360" w:lineRule="auto"/>
        <w:ind w:left="0" w:leftChars="0" w:firstLine="600" w:firstLineChars="200"/>
        <w:rPr>
          <w:rFonts w:hint="eastAsia" w:asciiTheme="minorEastAsia" w:hAnsiTheme="minorEastAsia" w:eastAsiaTheme="minorEastAsia" w:cstheme="minorEastAsia"/>
          <w:color w:val="000000" w:themeColor="text1"/>
          <w:sz w:val="30"/>
          <w:szCs w:val="30"/>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highlight w:val="none"/>
          <w:lang w:eastAsia="zh-CN"/>
          <w14:textFill>
            <w14:solidFill>
              <w14:schemeClr w14:val="tx1"/>
            </w14:solidFill>
          </w14:textFill>
        </w:rPr>
        <w:t>二、法定代表人身份证明或附有法定代表人身份证明的授权委托书</w:t>
      </w:r>
    </w:p>
    <w:p w14:paraId="6466BD32">
      <w:pPr>
        <w:pStyle w:val="10"/>
        <w:spacing w:before="0" w:line="360" w:lineRule="auto"/>
        <w:ind w:left="0" w:leftChars="0" w:firstLine="600" w:firstLineChars="200"/>
        <w:rPr>
          <w:rFonts w:hint="eastAsia" w:asciiTheme="minorEastAsia" w:hAnsiTheme="minorEastAsia" w:eastAsiaTheme="minorEastAsia" w:cstheme="minorEastAsia"/>
          <w:color w:val="000000" w:themeColor="text1"/>
          <w:sz w:val="30"/>
          <w:szCs w:val="30"/>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highlight w:val="none"/>
          <w:lang w:val="en-US" w:eastAsia="zh-CN"/>
          <w14:textFill>
            <w14:solidFill>
              <w14:schemeClr w14:val="tx1"/>
            </w14:solidFill>
          </w14:textFill>
        </w:rPr>
        <w:t>三</w:t>
      </w:r>
      <w:r>
        <w:rPr>
          <w:rFonts w:hint="eastAsia" w:asciiTheme="minorEastAsia" w:hAnsiTheme="minorEastAsia" w:eastAsiaTheme="minorEastAsia" w:cstheme="minorEastAsia"/>
          <w:color w:val="000000" w:themeColor="text1"/>
          <w:sz w:val="30"/>
          <w:szCs w:val="30"/>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30"/>
          <w:szCs w:val="30"/>
          <w:highlight w:val="none"/>
          <w:lang w:val="en-US" w:eastAsia="zh-CN"/>
          <w14:textFill>
            <w14:solidFill>
              <w14:schemeClr w14:val="tx1"/>
            </w14:solidFill>
          </w14:textFill>
        </w:rPr>
        <w:t>竞标报价表</w:t>
      </w:r>
    </w:p>
    <w:p w14:paraId="09C52906">
      <w:pPr>
        <w:keepNext w:val="0"/>
        <w:keepLines w:val="0"/>
        <w:kinsoku/>
        <w:wordWrap/>
        <w:overflowPunct/>
        <w:topLinePunct w:val="0"/>
        <w:bidi w:val="0"/>
        <w:snapToGrid/>
        <w:spacing w:line="360" w:lineRule="exact"/>
        <w:ind w:firstLine="600" w:firstLineChars="200"/>
        <w:textAlignment w:val="auto"/>
        <w:rPr>
          <w:rFonts w:hint="eastAsia" w:ascii="宋体" w:hAnsi="宋体" w:eastAsia="宋体" w:cs="宋体"/>
          <w:color w:val="auto"/>
          <w:sz w:val="30"/>
          <w:szCs w:val="30"/>
          <w:highlight w:val="none"/>
          <w:lang w:eastAsia="zh-CN"/>
        </w:rPr>
      </w:pPr>
      <w:r>
        <w:rPr>
          <w:rFonts w:hint="eastAsia" w:asciiTheme="minorEastAsia" w:hAnsiTheme="minorEastAsia" w:eastAsiaTheme="minorEastAsia" w:cstheme="minorEastAsia"/>
          <w:color w:val="000000" w:themeColor="text1"/>
          <w:sz w:val="30"/>
          <w:szCs w:val="30"/>
          <w:highlight w:val="none"/>
          <w:lang w:val="en-US" w:eastAsia="zh-CN"/>
          <w14:textFill>
            <w14:solidFill>
              <w14:schemeClr w14:val="tx1"/>
            </w14:solidFill>
          </w14:textFill>
        </w:rPr>
        <w:t>四</w:t>
      </w:r>
      <w:r>
        <w:rPr>
          <w:rFonts w:hint="eastAsia" w:asciiTheme="minorEastAsia" w:hAnsiTheme="minorEastAsia" w:eastAsiaTheme="minorEastAsia" w:cstheme="minorEastAsia"/>
          <w:color w:val="000000" w:themeColor="text1"/>
          <w:sz w:val="30"/>
          <w:szCs w:val="30"/>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30"/>
          <w:szCs w:val="30"/>
          <w:highlight w:val="none"/>
          <w:lang w:val="en-US" w:eastAsia="zh-CN"/>
          <w14:textFill>
            <w14:solidFill>
              <w14:schemeClr w14:val="tx1"/>
            </w14:solidFill>
          </w14:textFill>
        </w:rPr>
        <w:t>竞标</w:t>
      </w:r>
      <w:r>
        <w:rPr>
          <w:rFonts w:hint="eastAsia" w:ascii="宋体" w:hAnsi="宋体" w:eastAsia="宋体" w:cs="宋体"/>
          <w:color w:val="auto"/>
          <w:sz w:val="30"/>
          <w:szCs w:val="30"/>
          <w:highlight w:val="none"/>
        </w:rPr>
        <w:t>人基本情况登记表；</w:t>
      </w:r>
    </w:p>
    <w:p w14:paraId="40D1419C">
      <w:pPr>
        <w:pStyle w:val="10"/>
        <w:spacing w:before="0" w:line="360" w:lineRule="auto"/>
        <w:ind w:left="0" w:leftChars="0" w:firstLine="600" w:firstLineChars="200"/>
        <w:rPr>
          <w:rFonts w:hint="default" w:asciiTheme="minorEastAsia" w:hAnsiTheme="minorEastAsia" w:eastAsiaTheme="minorEastAsia" w:cstheme="minorEastAsia"/>
          <w:color w:val="auto"/>
          <w:sz w:val="30"/>
          <w:szCs w:val="30"/>
          <w:highlight w:val="none"/>
          <w:lang w:val="en-US" w:eastAsia="zh-CN"/>
        </w:rPr>
      </w:pPr>
      <w:r>
        <w:rPr>
          <w:rFonts w:hint="eastAsia" w:asciiTheme="minorEastAsia" w:hAnsiTheme="minorEastAsia" w:eastAsiaTheme="minorEastAsia" w:cstheme="minorEastAsia"/>
          <w:color w:val="000000" w:themeColor="text1"/>
          <w:sz w:val="30"/>
          <w:szCs w:val="30"/>
          <w:highlight w:val="none"/>
          <w:lang w:val="en-US" w:eastAsia="zh-CN"/>
          <w14:textFill>
            <w14:solidFill>
              <w14:schemeClr w14:val="tx1"/>
            </w14:solidFill>
          </w14:textFill>
        </w:rPr>
        <w:t>五</w:t>
      </w:r>
      <w:bookmarkStart w:id="178" w:name="_GoBack"/>
      <w:r>
        <w:rPr>
          <w:rFonts w:hint="eastAsia" w:asciiTheme="minorEastAsia" w:hAnsiTheme="minorEastAsia" w:eastAsiaTheme="minorEastAsia" w:cstheme="minorEastAsia"/>
          <w:color w:val="auto"/>
          <w:sz w:val="30"/>
          <w:szCs w:val="30"/>
          <w:highlight w:val="none"/>
          <w:lang w:val="en-US" w:eastAsia="zh-CN"/>
        </w:rPr>
        <w:t>、竞标</w:t>
      </w:r>
      <w:r>
        <w:rPr>
          <w:rFonts w:hint="eastAsia" w:ascii="宋体" w:hAnsi="宋体" w:eastAsia="宋体" w:cs="宋体"/>
          <w:color w:val="auto"/>
          <w:sz w:val="30"/>
          <w:szCs w:val="30"/>
        </w:rPr>
        <w:t>人有效的</w:t>
      </w:r>
      <w:r>
        <w:rPr>
          <w:rFonts w:hint="eastAsia" w:ascii="宋体" w:hAnsi="宋体" w:cs="宋体"/>
          <w:bCs/>
          <w:color w:val="auto"/>
          <w:sz w:val="30"/>
          <w:szCs w:val="30"/>
        </w:rPr>
        <w:t>须具备工程勘察综合类</w:t>
      </w:r>
      <w:r>
        <w:rPr>
          <w:rFonts w:hint="eastAsia" w:ascii="宋体" w:hAnsi="宋体" w:cs="宋体"/>
          <w:bCs/>
          <w:color w:val="auto"/>
          <w:sz w:val="30"/>
          <w:szCs w:val="30"/>
          <w:lang w:val="en-US" w:eastAsia="zh-CN"/>
        </w:rPr>
        <w:t>甲</w:t>
      </w:r>
      <w:r>
        <w:rPr>
          <w:rFonts w:hint="eastAsia" w:ascii="宋体" w:hAnsi="宋体" w:cs="宋体"/>
          <w:bCs/>
          <w:color w:val="auto"/>
          <w:sz w:val="30"/>
          <w:szCs w:val="30"/>
        </w:rPr>
        <w:t>级或工程勘察专业类岩土工程勘察</w:t>
      </w:r>
      <w:r>
        <w:rPr>
          <w:rFonts w:hint="eastAsia" w:ascii="宋体" w:hAnsi="宋体" w:cs="宋体"/>
          <w:bCs/>
          <w:color w:val="auto"/>
          <w:sz w:val="30"/>
          <w:szCs w:val="30"/>
          <w:lang w:val="en-US" w:eastAsia="zh-CN"/>
        </w:rPr>
        <w:t>乙</w:t>
      </w:r>
      <w:r>
        <w:rPr>
          <w:rFonts w:hint="eastAsia" w:ascii="宋体" w:hAnsi="宋体" w:cs="宋体"/>
          <w:bCs/>
          <w:color w:val="auto"/>
          <w:sz w:val="30"/>
          <w:szCs w:val="30"/>
        </w:rPr>
        <w:t>级及以上资质（含</w:t>
      </w:r>
      <w:r>
        <w:rPr>
          <w:rFonts w:hint="eastAsia" w:ascii="宋体" w:hAnsi="宋体" w:cs="宋体"/>
          <w:bCs/>
          <w:color w:val="auto"/>
          <w:sz w:val="30"/>
          <w:szCs w:val="30"/>
          <w:lang w:val="en-US" w:eastAsia="zh-CN"/>
        </w:rPr>
        <w:t>乙</w:t>
      </w:r>
      <w:r>
        <w:rPr>
          <w:rFonts w:hint="eastAsia" w:ascii="宋体" w:hAnsi="宋体" w:cs="宋体"/>
          <w:bCs/>
          <w:color w:val="auto"/>
          <w:sz w:val="30"/>
          <w:szCs w:val="30"/>
        </w:rPr>
        <w:t>级资质）</w:t>
      </w:r>
      <w:r>
        <w:rPr>
          <w:rFonts w:hint="eastAsia" w:ascii="宋体" w:hAnsi="宋体" w:cs="宋体"/>
          <w:color w:val="auto"/>
          <w:sz w:val="30"/>
          <w:szCs w:val="30"/>
          <w:lang w:eastAsia="zh-CN"/>
        </w:rPr>
        <w:t>副本复印件并加盖投标单位公章</w:t>
      </w:r>
    </w:p>
    <w:bookmarkEnd w:id="178"/>
    <w:p w14:paraId="5EFA2319">
      <w:pPr>
        <w:pStyle w:val="10"/>
        <w:spacing w:before="0" w:line="360" w:lineRule="auto"/>
        <w:ind w:left="100" w:firstLine="420"/>
        <w:rPr>
          <w:rFonts w:hint="eastAsia" w:asciiTheme="minorEastAsia" w:hAnsiTheme="minorEastAsia" w:eastAsiaTheme="minorEastAsia" w:cstheme="minorEastAsia"/>
          <w:color w:val="000000" w:themeColor="text1"/>
          <w:sz w:val="30"/>
          <w:szCs w:val="30"/>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highlight w:val="none"/>
          <w:lang w:val="en-US" w:eastAsia="zh-CN"/>
          <w14:textFill>
            <w14:solidFill>
              <w14:schemeClr w14:val="tx1"/>
            </w14:solidFill>
          </w14:textFill>
        </w:rPr>
        <w:t>六</w:t>
      </w:r>
      <w:r>
        <w:rPr>
          <w:rFonts w:hint="eastAsia" w:asciiTheme="minorEastAsia" w:hAnsiTheme="minorEastAsia" w:eastAsiaTheme="minorEastAsia" w:cstheme="minorEastAsia"/>
          <w:color w:val="000000" w:themeColor="text1"/>
          <w:sz w:val="30"/>
          <w:szCs w:val="30"/>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30"/>
          <w:szCs w:val="30"/>
          <w:highlight w:val="none"/>
          <w:lang w:val="en-US" w:eastAsia="zh-CN"/>
          <w14:textFill>
            <w14:solidFill>
              <w14:schemeClr w14:val="tx1"/>
            </w14:solidFill>
          </w14:textFill>
        </w:rPr>
        <w:t>项目实施方案部分（需包含项目实施方案及拟投入本项目人员等）</w:t>
      </w:r>
    </w:p>
    <w:p w14:paraId="6A0B5D0E">
      <w:pPr>
        <w:pStyle w:val="10"/>
        <w:spacing w:before="0" w:line="360" w:lineRule="auto"/>
        <w:ind w:left="100" w:firstLine="420"/>
        <w:rPr>
          <w:rFonts w:hint="eastAsia" w:asciiTheme="minorEastAsia" w:hAnsiTheme="minorEastAsia" w:eastAsiaTheme="minorEastAsia" w:cstheme="minorEastAsia"/>
          <w:color w:val="000000" w:themeColor="text1"/>
          <w:sz w:val="30"/>
          <w:szCs w:val="30"/>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highlight w:val="none"/>
          <w:lang w:val="en-US" w:eastAsia="zh-CN"/>
          <w14:textFill>
            <w14:solidFill>
              <w14:schemeClr w14:val="tx1"/>
            </w14:solidFill>
          </w14:textFill>
        </w:rPr>
        <w:t>七、</w:t>
      </w:r>
      <w:r>
        <w:rPr>
          <w:rFonts w:hint="eastAsia" w:asciiTheme="minorEastAsia" w:hAnsiTheme="minorEastAsia" w:eastAsiaTheme="minorEastAsia" w:cstheme="minorEastAsia"/>
          <w:color w:val="000000" w:themeColor="text1"/>
          <w:sz w:val="30"/>
          <w:szCs w:val="30"/>
          <w:highlight w:val="none"/>
          <w:lang w:eastAsia="zh-CN"/>
          <w14:textFill>
            <w14:solidFill>
              <w14:schemeClr w14:val="tx1"/>
            </w14:solidFill>
          </w14:textFill>
        </w:rPr>
        <w:t>资格审查资料</w:t>
      </w:r>
    </w:p>
    <w:p w14:paraId="77109FB3">
      <w:pPr>
        <w:pStyle w:val="10"/>
        <w:spacing w:before="0" w:line="360" w:lineRule="auto"/>
        <w:ind w:left="100" w:firstLine="420"/>
        <w:rPr>
          <w:rFonts w:hint="eastAsia" w:asciiTheme="minorEastAsia" w:hAnsiTheme="minorEastAsia" w:eastAsiaTheme="minorEastAsia" w:cstheme="minorEastAsia"/>
          <w:color w:val="000000" w:themeColor="text1"/>
          <w:sz w:val="30"/>
          <w:szCs w:val="30"/>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highlight w:val="none"/>
          <w:lang w:val="en-US" w:eastAsia="zh-CN"/>
          <w14:textFill>
            <w14:solidFill>
              <w14:schemeClr w14:val="tx1"/>
            </w14:solidFill>
          </w14:textFill>
        </w:rPr>
        <w:t>八</w:t>
      </w:r>
      <w:r>
        <w:rPr>
          <w:rFonts w:hint="eastAsia" w:asciiTheme="minorEastAsia" w:hAnsiTheme="minorEastAsia" w:eastAsiaTheme="minorEastAsia" w:cstheme="minorEastAsia"/>
          <w:color w:val="000000" w:themeColor="text1"/>
          <w:sz w:val="30"/>
          <w:szCs w:val="30"/>
          <w:highlight w:val="none"/>
          <w:lang w:eastAsia="zh-CN"/>
          <w14:textFill>
            <w14:solidFill>
              <w14:schemeClr w14:val="tx1"/>
            </w14:solidFill>
          </w14:textFill>
        </w:rPr>
        <w:t>、其他材料</w:t>
      </w:r>
    </w:p>
    <w:p w14:paraId="2CC2C4BA">
      <w:pP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p>
    <w:p w14:paraId="5C615BBA">
      <w:pPr>
        <w:pStyle w:val="10"/>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p>
    <w:p w14:paraId="2D6EEE75">
      <w:pP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p>
    <w:p w14:paraId="54C5B08A">
      <w:pPr>
        <w:pStyle w:val="10"/>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p>
    <w:p w14:paraId="5C98D4CD">
      <w:pP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p>
    <w:p w14:paraId="761453F2">
      <w:pPr>
        <w:pStyle w:val="10"/>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p>
    <w:p w14:paraId="7A710CB4">
      <w:pP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p>
    <w:p w14:paraId="10C2A4BE">
      <w:pPr>
        <w:pStyle w:val="10"/>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p>
    <w:p w14:paraId="1595C002">
      <w:pP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p>
    <w:p w14:paraId="75992EC5">
      <w:pPr>
        <w:pStyle w:val="10"/>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p>
    <w:p w14:paraId="049904D8">
      <w:pP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p>
    <w:p w14:paraId="27D2E0EA">
      <w:pPr>
        <w:pStyle w:val="10"/>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p>
    <w:p w14:paraId="0D469D25">
      <w:pP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p>
    <w:p w14:paraId="5529F3AA">
      <w:pPr>
        <w:pStyle w:val="10"/>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p>
    <w:p w14:paraId="5C8989A9">
      <w:pP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p>
    <w:p w14:paraId="0DA2BFF2">
      <w:pPr>
        <w:pStyle w:val="10"/>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p>
    <w:p w14:paraId="0D6D42AF">
      <w:pPr>
        <w:pStyle w:val="3"/>
        <w:spacing w:before="0" w:after="0"/>
        <w:jc w:val="center"/>
        <w:outlineLvl w:val="1"/>
        <w:rPr>
          <w:rFonts w:hint="eastAsia" w:asciiTheme="minorEastAsia" w:hAnsiTheme="minorEastAsia" w:eastAsiaTheme="minorEastAsia" w:cstheme="minorEastAsia"/>
          <w:color w:val="000000" w:themeColor="text1"/>
          <w:sz w:val="28"/>
          <w:szCs w:val="28"/>
          <w:highlight w:val="yellow"/>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一、</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竞标</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函</w:t>
      </w:r>
      <w:bookmarkEnd w:id="81"/>
      <w:bookmarkEnd w:id="82"/>
      <w:bookmarkEnd w:id="83"/>
      <w:bookmarkEnd w:id="84"/>
      <w:bookmarkEnd w:id="85"/>
      <w:bookmarkEnd w:id="86"/>
      <w:bookmarkEnd w:id="87"/>
      <w:bookmarkEnd w:id="88"/>
      <w:bookmarkEnd w:id="89"/>
      <w:bookmarkEnd w:id="90"/>
      <w:bookmarkEnd w:id="91"/>
      <w:bookmarkEnd w:id="92"/>
    </w:p>
    <w:p w14:paraId="1E4B104B">
      <w:pPr>
        <w:pStyle w:val="14"/>
        <w:spacing w:line="28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致：（</w:t>
      </w:r>
      <w:r>
        <w:rPr>
          <w:rFonts w:hint="eastAsia" w:ascii="宋体" w:hAnsi="宋体" w:eastAsia="宋体" w:cs="宋体"/>
          <w:color w:val="auto"/>
          <w:kern w:val="48"/>
          <w:sz w:val="21"/>
          <w:szCs w:val="21"/>
          <w:highlight w:val="none"/>
          <w:lang w:val="en-US" w:eastAsia="zh-CN"/>
        </w:rPr>
        <w:t>采购</w:t>
      </w:r>
      <w:r>
        <w:rPr>
          <w:rFonts w:hint="eastAsia" w:ascii="宋体" w:hAnsi="宋体" w:eastAsia="宋体" w:cs="宋体"/>
          <w:color w:val="auto"/>
          <w:kern w:val="48"/>
          <w:sz w:val="21"/>
          <w:szCs w:val="21"/>
          <w:highlight w:val="none"/>
        </w:rPr>
        <w:t>人）</w:t>
      </w:r>
      <w:r>
        <w:rPr>
          <w:rFonts w:hint="eastAsia" w:ascii="宋体" w:hAnsi="宋体" w:eastAsia="宋体" w:cs="宋体"/>
          <w:color w:val="auto"/>
          <w:sz w:val="21"/>
          <w:szCs w:val="21"/>
          <w:highlight w:val="none"/>
        </w:rPr>
        <w:t xml:space="preserve"> </w:t>
      </w:r>
    </w:p>
    <w:p w14:paraId="15313030">
      <w:pPr>
        <w:pStyle w:val="14"/>
        <w:spacing w:line="280" w:lineRule="exact"/>
        <w:ind w:firstLine="420"/>
        <w:rPr>
          <w:rFonts w:hint="eastAsia" w:ascii="宋体" w:hAnsi="宋体" w:eastAsia="宋体" w:cs="宋体"/>
          <w:color w:val="auto"/>
          <w:sz w:val="21"/>
          <w:szCs w:val="21"/>
          <w:highlight w:val="none"/>
        </w:rPr>
      </w:pPr>
    </w:p>
    <w:p w14:paraId="1AE3640C">
      <w:pPr>
        <w:pStyle w:val="14"/>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根据贵方</w:t>
      </w:r>
      <w:r>
        <w:rPr>
          <w:rFonts w:hint="eastAsia" w:ascii="宋体" w:hAnsi="宋体" w:eastAsia="宋体" w:cs="宋体"/>
          <w:color w:val="auto"/>
          <w:kern w:val="48"/>
          <w:sz w:val="21"/>
          <w:szCs w:val="21"/>
          <w:highlight w:val="none"/>
          <w:u w:val="single"/>
        </w:rPr>
        <w:t xml:space="preserve">    （项目名称）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招标文件，招标</w:t>
      </w:r>
      <w:r>
        <w:rPr>
          <w:rFonts w:hint="eastAsia" w:hAnsi="宋体" w:cs="宋体"/>
          <w:color w:val="auto"/>
          <w:sz w:val="21"/>
          <w:szCs w:val="21"/>
          <w:highlight w:val="none"/>
          <w:lang w:val="en-US" w:eastAsia="zh-CN"/>
        </w:rPr>
        <w:t>项目</w:t>
      </w:r>
      <w:r>
        <w:rPr>
          <w:rFonts w:hint="eastAsia" w:ascii="宋体" w:hAnsi="宋体" w:eastAsia="宋体" w:cs="宋体"/>
          <w:color w:val="auto"/>
          <w:sz w:val="21"/>
          <w:szCs w:val="21"/>
          <w:highlight w:val="none"/>
        </w:rPr>
        <w:t>编号</w:t>
      </w:r>
      <w:r>
        <w:rPr>
          <w:rFonts w:hint="eastAsia" w:ascii="宋体" w:hAnsi="宋体" w:eastAsia="宋体" w:cs="宋体"/>
          <w:color w:val="auto"/>
          <w:sz w:val="21"/>
          <w:szCs w:val="21"/>
          <w:highlight w:val="none"/>
          <w:u w:val="single"/>
        </w:rPr>
        <w:t xml:space="preserve">    </w:t>
      </w:r>
      <w:r>
        <w:rPr>
          <w:rFonts w:hint="eastAsia"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，正式授权下述签字人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（姓名和职务）代表投标人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投标单位名称），提交投标文件正本一份，副本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w:t>
      </w:r>
    </w:p>
    <w:p w14:paraId="40B9C4BB">
      <w:pPr>
        <w:pStyle w:val="14"/>
        <w:spacing w:line="4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据此函，签字人兹宣布同意如下：</w:t>
      </w:r>
    </w:p>
    <w:p w14:paraId="655E7A08">
      <w:pPr>
        <w:pStyle w:val="14"/>
        <w:spacing w:line="420" w:lineRule="exact"/>
        <w:ind w:left="2" w:firstLine="367" w:firstLineChars="17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1、我方已仔细研究了</w:t>
      </w:r>
      <w:r>
        <w:rPr>
          <w:rFonts w:hint="eastAsia" w:hAnsi="宋体" w:cs="宋体"/>
          <w:i w:val="0"/>
          <w:iCs w:val="0"/>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（项目名称）</w:t>
      </w:r>
      <w:r>
        <w:rPr>
          <w:rFonts w:hint="eastAsia" w:hAnsi="宋体" w:cs="宋体"/>
          <w:color w:val="auto"/>
          <w:sz w:val="21"/>
          <w:szCs w:val="21"/>
          <w:highlight w:val="none"/>
          <w:u w:val="single"/>
          <w:lang w:val="en-US" w:eastAsia="zh-CN"/>
        </w:rPr>
        <w:t xml:space="preserve">    </w:t>
      </w:r>
      <w:r>
        <w:rPr>
          <w:rFonts w:hint="eastAsia" w:hAnsi="宋体" w:cs="宋体"/>
          <w:color w:val="auto"/>
          <w:sz w:val="21"/>
          <w:szCs w:val="21"/>
          <w:highlight w:val="none"/>
        </w:rPr>
        <w:t>（</w:t>
      </w:r>
      <w:r>
        <w:rPr>
          <w:rFonts w:hint="eastAsia" w:ascii="宋体" w:hAnsi="宋体" w:eastAsia="宋体" w:cs="宋体"/>
          <w:color w:val="auto"/>
          <w:sz w:val="21"/>
          <w:szCs w:val="21"/>
          <w:highlight w:val="none"/>
        </w:rPr>
        <w:t>招标</w:t>
      </w:r>
      <w:r>
        <w:rPr>
          <w:rFonts w:hint="eastAsia" w:hAnsi="宋体" w:cs="宋体"/>
          <w:color w:val="auto"/>
          <w:sz w:val="21"/>
          <w:szCs w:val="21"/>
          <w:highlight w:val="none"/>
          <w:lang w:val="en-US" w:eastAsia="zh-CN"/>
        </w:rPr>
        <w:t>项目</w:t>
      </w:r>
      <w:r>
        <w:rPr>
          <w:rFonts w:hint="eastAsia" w:ascii="宋体" w:hAnsi="宋体" w:eastAsia="宋体" w:cs="宋体"/>
          <w:color w:val="auto"/>
          <w:sz w:val="21"/>
          <w:szCs w:val="21"/>
          <w:highlight w:val="none"/>
        </w:rPr>
        <w:t>编号</w:t>
      </w:r>
      <w:r>
        <w:rPr>
          <w:rFonts w:hint="eastAsia" w:hAnsi="宋体" w:cs="宋体"/>
          <w:color w:val="auto"/>
          <w:sz w:val="21"/>
          <w:szCs w:val="21"/>
          <w:highlight w:val="none"/>
          <w:u w:val="none"/>
          <w:lang w:val="en-US" w:eastAsia="zh-CN"/>
        </w:rPr>
        <w:t>：</w:t>
      </w:r>
      <w:r>
        <w:rPr>
          <w:rFonts w:hint="eastAsia" w:hAnsi="宋体" w:cs="宋体"/>
          <w:color w:val="auto"/>
          <w:sz w:val="21"/>
          <w:szCs w:val="21"/>
          <w:highlight w:val="none"/>
          <w:u w:val="single"/>
          <w:lang w:val="en-US" w:eastAsia="zh-CN"/>
        </w:rPr>
        <w:t xml:space="preserve">         </w:t>
      </w:r>
      <w:r>
        <w:rPr>
          <w:rFonts w:hint="eastAsia" w:hAnsi="宋体" w:cs="宋体"/>
          <w:color w:val="auto"/>
          <w:sz w:val="21"/>
          <w:szCs w:val="21"/>
          <w:highlight w:val="none"/>
          <w:u w:val="none"/>
          <w:lang w:val="en-US" w:eastAsia="zh-CN"/>
        </w:rPr>
        <w:t xml:space="preserve"> </w:t>
      </w:r>
      <w:r>
        <w:rPr>
          <w:rFonts w:hint="eastAsia" w:hAnsi="宋体" w:cs="宋体"/>
          <w:color w:val="auto"/>
          <w:sz w:val="21"/>
          <w:szCs w:val="21"/>
          <w:highlight w:val="none"/>
        </w:rPr>
        <w:t>）</w:t>
      </w:r>
      <w:r>
        <w:rPr>
          <w:rFonts w:hint="eastAsia" w:ascii="宋体" w:hAnsi="宋体" w:eastAsia="宋体" w:cs="宋体"/>
          <w:color w:val="auto"/>
          <w:sz w:val="21"/>
          <w:szCs w:val="21"/>
          <w:highlight w:val="none"/>
        </w:rPr>
        <w:t>招标文件的全部内容，愿意以：</w:t>
      </w:r>
      <w:r>
        <w:rPr>
          <w:rFonts w:hint="eastAsia" w:hAnsi="宋体" w:cs="宋体"/>
          <w:color w:val="auto"/>
          <w:kern w:val="0"/>
          <w:sz w:val="21"/>
          <w:szCs w:val="21"/>
          <w:highlight w:val="none"/>
        </w:rPr>
        <w:t>投标总报价</w:t>
      </w:r>
      <w:r>
        <w:rPr>
          <w:rFonts w:hint="eastAsia" w:ascii="宋体" w:hAnsi="宋体" w:eastAsia="宋体" w:cs="宋体"/>
          <w:color w:val="auto"/>
          <w:kern w:val="0"/>
          <w:sz w:val="21"/>
          <w:szCs w:val="21"/>
          <w:highlight w:val="none"/>
        </w:rPr>
        <w:t>（含税）</w:t>
      </w:r>
      <w:r>
        <w:rPr>
          <w:rFonts w:hint="eastAsia" w:hAnsi="宋体" w:cs="宋体"/>
          <w:color w:val="auto"/>
          <w:kern w:val="0"/>
          <w:sz w:val="21"/>
          <w:szCs w:val="21"/>
          <w:highlight w:val="none"/>
        </w:rPr>
        <w:t>人民币</w:t>
      </w:r>
      <w:r>
        <w:rPr>
          <w:rFonts w:hint="eastAsia" w:hAnsi="宋体" w:cs="宋体"/>
          <w:color w:val="auto"/>
          <w:kern w:val="0"/>
          <w:sz w:val="21"/>
          <w:szCs w:val="21"/>
          <w:highlight w:val="none"/>
          <w:u w:val="single"/>
          <w:lang w:val="en-US" w:eastAsia="zh-CN"/>
        </w:rPr>
        <w:t xml:space="preserve">       </w:t>
      </w:r>
      <w:r>
        <w:rPr>
          <w:rFonts w:hint="eastAsia" w:hAnsi="宋体" w:cs="宋体"/>
          <w:color w:val="auto"/>
          <w:kern w:val="0"/>
          <w:sz w:val="21"/>
          <w:szCs w:val="21"/>
          <w:highlight w:val="none"/>
        </w:rPr>
        <w:t>（¥</w:t>
      </w:r>
      <w:r>
        <w:rPr>
          <w:rFonts w:hint="eastAsia" w:hAnsi="宋体" w:cs="宋体"/>
          <w:color w:val="auto"/>
          <w:kern w:val="0"/>
          <w:sz w:val="21"/>
          <w:szCs w:val="21"/>
          <w:highlight w:val="none"/>
          <w:u w:val="single"/>
        </w:rPr>
        <w:t xml:space="preserve">  </w:t>
      </w:r>
      <w:r>
        <w:rPr>
          <w:rFonts w:hint="eastAsia" w:hAnsi="宋体" w:cs="宋体"/>
          <w:color w:val="auto"/>
          <w:kern w:val="0"/>
          <w:sz w:val="21"/>
          <w:szCs w:val="21"/>
          <w:highlight w:val="none"/>
          <w:u w:val="single"/>
          <w:lang w:val="en-US" w:eastAsia="zh-CN"/>
        </w:rPr>
        <w:t xml:space="preserve">  </w:t>
      </w:r>
      <w:r>
        <w:rPr>
          <w:rFonts w:hint="eastAsia" w:hAnsi="宋体" w:cs="宋体"/>
          <w:color w:val="auto"/>
          <w:kern w:val="0"/>
          <w:sz w:val="21"/>
          <w:szCs w:val="21"/>
          <w:highlight w:val="none"/>
          <w:u w:val="single"/>
        </w:rPr>
        <w:t xml:space="preserve">   </w:t>
      </w:r>
      <w:r>
        <w:rPr>
          <w:rFonts w:hint="eastAsia" w:hAnsi="宋体" w:cs="宋体"/>
          <w:color w:val="auto"/>
          <w:kern w:val="0"/>
          <w:sz w:val="21"/>
          <w:szCs w:val="21"/>
          <w:highlight w:val="none"/>
        </w:rPr>
        <w:t>），</w:t>
      </w:r>
      <w:r>
        <w:rPr>
          <w:rFonts w:hint="eastAsia" w:ascii="宋体" w:hAnsi="宋体" w:eastAsia="宋体" w:cs="宋体"/>
          <w:color w:val="auto"/>
          <w:kern w:val="0"/>
          <w:sz w:val="21"/>
          <w:szCs w:val="21"/>
          <w:highlight w:val="none"/>
        </w:rPr>
        <w:t>的</w:t>
      </w:r>
      <w:r>
        <w:rPr>
          <w:rFonts w:hint="eastAsia" w:ascii="宋体" w:hAnsi="宋体" w:eastAsia="宋体" w:cs="宋体"/>
          <w:color w:val="auto"/>
          <w:sz w:val="21"/>
          <w:szCs w:val="21"/>
          <w:highlight w:val="none"/>
        </w:rPr>
        <w:t>投标报价并按上述招标文件全部内容、招标需求、合同条款、澄清补遗（如有）等要求，承接本项目。</w:t>
      </w:r>
    </w:p>
    <w:p w14:paraId="66EA6145">
      <w:pPr>
        <w:pStyle w:val="14"/>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2、我们根据招标文件的规定，承担完成合同的责任和义务。</w:t>
      </w:r>
    </w:p>
    <w:p w14:paraId="00448E6F">
      <w:pPr>
        <w:pStyle w:val="14"/>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3、我们已详细审查全部招标文件，包括修改文件（如有的话）和有关附件，将自行承担因对全部招标文件理解不正确或误解而产生的相应后果。</w:t>
      </w:r>
    </w:p>
    <w:p w14:paraId="61F7DDD0">
      <w:pPr>
        <w:pStyle w:val="14"/>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4、我们同意在投标人须知规定的开标日期起遵循本投标文件，并在投标人须知第3.3.1条规定的投标有效期满之前均具有约束力，并有可能中标。</w:t>
      </w:r>
    </w:p>
    <w:p w14:paraId="095F2238">
      <w:pPr>
        <w:pStyle w:val="14"/>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5、如果在投标截止时间后的投标有效期内撤回投标或者有其他违约行为，我们的投标保证金可被贵方不予退还。</w:t>
      </w:r>
    </w:p>
    <w:p w14:paraId="27D53BD8">
      <w:pPr>
        <w:pStyle w:val="14"/>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6、我们同意提供按照招标采购单位可能要求的与本投标有关的一切数据或资料，完全理解贵方不一定要接受最低的报价或收到的任何投标。</w:t>
      </w:r>
    </w:p>
    <w:p w14:paraId="14BB5623">
      <w:pPr>
        <w:pStyle w:val="14"/>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7、我方向贵方提交的所有投标文件、资料都是准确的和真实的。</w:t>
      </w:r>
    </w:p>
    <w:p w14:paraId="58232F1D">
      <w:pPr>
        <w:pStyle w:val="14"/>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与本投标有关的正式通讯地址为：</w:t>
      </w:r>
    </w:p>
    <w:p w14:paraId="708B1ED3">
      <w:pPr>
        <w:pStyle w:val="14"/>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邮政编码：</w:t>
      </w:r>
      <w:r>
        <w:rPr>
          <w:rFonts w:hint="eastAsia" w:ascii="宋体" w:hAnsi="宋体" w:eastAsia="宋体" w:cs="宋体"/>
          <w:color w:val="auto"/>
          <w:sz w:val="21"/>
          <w:szCs w:val="21"/>
          <w:highlight w:val="none"/>
          <w:u w:val="single"/>
        </w:rPr>
        <w:t xml:space="preserve">             </w:t>
      </w:r>
    </w:p>
    <w:p w14:paraId="5B38A07D">
      <w:pPr>
        <w:pStyle w:val="14"/>
        <w:spacing w:line="420" w:lineRule="exact"/>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电话、电报、传真或电传：</w:t>
      </w:r>
      <w:r>
        <w:rPr>
          <w:rFonts w:hint="eastAsia" w:ascii="宋体" w:hAnsi="宋体" w:eastAsia="宋体" w:cs="宋体"/>
          <w:color w:val="auto"/>
          <w:sz w:val="21"/>
          <w:szCs w:val="21"/>
          <w:highlight w:val="none"/>
          <w:u w:val="single"/>
        </w:rPr>
        <w:t xml:space="preserve">                                      </w:t>
      </w:r>
    </w:p>
    <w:p w14:paraId="2122B6C5">
      <w:pPr>
        <w:pStyle w:val="14"/>
        <w:spacing w:line="420" w:lineRule="exact"/>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开户名称：</w:t>
      </w:r>
      <w:r>
        <w:rPr>
          <w:rFonts w:hint="eastAsia" w:ascii="宋体" w:hAnsi="宋体" w:eastAsia="宋体" w:cs="宋体"/>
          <w:color w:val="auto"/>
          <w:sz w:val="21"/>
          <w:szCs w:val="21"/>
          <w:highlight w:val="none"/>
          <w:u w:val="single"/>
        </w:rPr>
        <w:t xml:space="preserve">                                                    </w:t>
      </w:r>
    </w:p>
    <w:p w14:paraId="18FEA085">
      <w:pPr>
        <w:pStyle w:val="14"/>
        <w:spacing w:line="420" w:lineRule="exact"/>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p>
    <w:p w14:paraId="4D3D0A5D">
      <w:pPr>
        <w:pStyle w:val="14"/>
        <w:spacing w:line="420" w:lineRule="exact"/>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账号：</w:t>
      </w:r>
      <w:r>
        <w:rPr>
          <w:rFonts w:hint="eastAsia" w:ascii="宋体" w:hAnsi="宋体" w:eastAsia="宋体" w:cs="宋体"/>
          <w:color w:val="auto"/>
          <w:sz w:val="21"/>
          <w:szCs w:val="21"/>
          <w:highlight w:val="none"/>
          <w:u w:val="single"/>
        </w:rPr>
        <w:t xml:space="preserve">                                                        </w:t>
      </w:r>
    </w:p>
    <w:p w14:paraId="08833155">
      <w:pPr>
        <w:pStyle w:val="14"/>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法定代表人或委托代理人（签字或盖章）：  </w:t>
      </w:r>
      <w:r>
        <w:rPr>
          <w:rFonts w:hint="eastAsia" w:ascii="宋体" w:hAnsi="宋体" w:eastAsia="宋体" w:cs="宋体"/>
          <w:color w:val="auto"/>
          <w:sz w:val="21"/>
          <w:szCs w:val="21"/>
          <w:highlight w:val="none"/>
          <w:u w:val="single"/>
        </w:rPr>
        <w:t xml:space="preserve">                                </w:t>
      </w:r>
    </w:p>
    <w:p w14:paraId="2209715A">
      <w:pPr>
        <w:pStyle w:val="14"/>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投标人盖公章：</w:t>
      </w:r>
      <w:r>
        <w:rPr>
          <w:rFonts w:hint="eastAsia" w:ascii="宋体" w:hAnsi="宋体" w:eastAsia="宋体" w:cs="宋体"/>
          <w:color w:val="auto"/>
          <w:sz w:val="21"/>
          <w:szCs w:val="21"/>
          <w:highlight w:val="none"/>
          <w:u w:val="single"/>
        </w:rPr>
        <w:t xml:space="preserve">                                                </w:t>
      </w:r>
    </w:p>
    <w:p w14:paraId="53748921">
      <w:pPr>
        <w:pStyle w:val="14"/>
        <w:spacing w:line="420" w:lineRule="exact"/>
        <w:ind w:firstLine="420" w:firstLineChars="200"/>
        <w:rPr>
          <w:rFonts w:hint="eastAsia" w:ascii="宋体" w:hAnsi="宋体" w:eastAsia="宋体" w:cs="宋体"/>
          <w:color w:val="auto"/>
          <w:sz w:val="24"/>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p>
    <w:p w14:paraId="3E821B0B">
      <w:pPr>
        <w:autoSpaceDE w:val="0"/>
        <w:autoSpaceDN w:val="0"/>
        <w:adjustRightInd w:val="0"/>
        <w:spacing w:line="360" w:lineRule="auto"/>
        <w:ind w:firstLine="2420" w:firstLineChars="1100"/>
        <w:jc w:val="right"/>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br w:type="page"/>
      </w:r>
    </w:p>
    <w:p w14:paraId="190671AF">
      <w:pPr>
        <w:pStyle w:val="3"/>
        <w:keepNext w:val="0"/>
        <w:keepLines w:val="0"/>
        <w:pageBreakBefore w:val="0"/>
        <w:widowControl w:val="0"/>
        <w:kinsoku/>
        <w:wordWrap/>
        <w:overflowPunct/>
        <w:topLinePunct w:val="0"/>
        <w:autoSpaceDE/>
        <w:autoSpaceDN/>
        <w:bidi w:val="0"/>
        <w:adjustRightInd/>
        <w:snapToGrid/>
        <w:spacing w:before="0" w:after="0"/>
        <w:ind w:left="0"/>
        <w:jc w:val="center"/>
        <w:textAlignment w:val="auto"/>
        <w:outlineLvl w:val="1"/>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bookmarkStart w:id="93" w:name="_Toc152042580"/>
      <w:bookmarkStart w:id="94" w:name="_Toc246996359"/>
      <w:bookmarkStart w:id="95" w:name="_Toc179632811"/>
      <w:bookmarkStart w:id="96" w:name="_Toc144974860"/>
      <w:bookmarkStart w:id="97" w:name="_Toc246997102"/>
      <w:bookmarkStart w:id="98" w:name="_Toc152045791"/>
      <w:bookmarkStart w:id="99" w:name="_Toc247085877"/>
      <w:bookmarkStart w:id="100" w:name="_Toc7685"/>
      <w:bookmarkStart w:id="101" w:name="_Toc73"/>
      <w:bookmarkStart w:id="102" w:name="_Toc7277"/>
      <w:bookmarkStart w:id="103" w:name="_Toc420868153"/>
      <w:bookmarkStart w:id="104" w:name="_Toc30858"/>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二、</w:t>
      </w:r>
      <w:bookmarkEnd w:id="93"/>
      <w:bookmarkEnd w:id="94"/>
      <w:bookmarkEnd w:id="95"/>
      <w:bookmarkEnd w:id="96"/>
      <w:bookmarkEnd w:id="97"/>
      <w:bookmarkEnd w:id="98"/>
      <w:bookmarkEnd w:id="99"/>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法定代表人身份证明或附有法定代表人身份证明的授权委托书</w:t>
      </w:r>
      <w:bookmarkEnd w:id="100"/>
      <w:bookmarkEnd w:id="101"/>
      <w:bookmarkEnd w:id="102"/>
      <w:bookmarkEnd w:id="103"/>
      <w:bookmarkEnd w:id="104"/>
    </w:p>
    <w:p w14:paraId="6396F570">
      <w:pPr>
        <w:pStyle w:val="4"/>
        <w:keepNext w:val="0"/>
        <w:keepLines w:val="0"/>
        <w:pageBreakBefore w:val="0"/>
        <w:widowControl w:val="0"/>
        <w:kinsoku/>
        <w:wordWrap/>
        <w:overflowPunct/>
        <w:topLinePunct w:val="0"/>
        <w:autoSpaceDE/>
        <w:autoSpaceDN/>
        <w:bidi w:val="0"/>
        <w:adjustRightInd/>
        <w:snapToGrid/>
        <w:spacing w:before="0" w:after="0" w:line="360" w:lineRule="auto"/>
        <w:ind w:left="0"/>
        <w:jc w:val="center"/>
        <w:textAlignment w:val="auto"/>
        <w:outlineLvl w:val="2"/>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pPr>
      <w:bookmarkStart w:id="105" w:name="_Toc420868154"/>
      <w:bookmarkStart w:id="106" w:name="_Toc6825"/>
      <w:bookmarkStart w:id="107" w:name="_Toc4109"/>
      <w:bookmarkStart w:id="108" w:name="_Toc437531075"/>
      <w:bookmarkStart w:id="109" w:name="_Toc30578"/>
      <w:r>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t>（一）法定代表人身份证明</w:t>
      </w:r>
      <w:bookmarkEnd w:id="105"/>
      <w:bookmarkEnd w:id="106"/>
      <w:bookmarkEnd w:id="107"/>
      <w:bookmarkEnd w:id="108"/>
      <w:bookmarkEnd w:id="109"/>
    </w:p>
    <w:p w14:paraId="4A65C816">
      <w:pPr>
        <w:spacing w:line="440" w:lineRule="exac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p w14:paraId="6DE69D85">
      <w:pPr>
        <w:spacing w:line="440" w:lineRule="exac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名称：</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w:t>
      </w:r>
    </w:p>
    <w:p w14:paraId="7B9905C3">
      <w:pPr>
        <w:spacing w:line="440" w:lineRule="exac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单位性质：</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w:t>
      </w:r>
    </w:p>
    <w:p w14:paraId="14F34CB7">
      <w:pPr>
        <w:spacing w:line="440" w:lineRule="exac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地址：</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p>
    <w:p w14:paraId="3CD3D0F8">
      <w:pPr>
        <w:spacing w:line="440" w:lineRule="exac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成立时间：</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年</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月</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日</w:t>
      </w:r>
    </w:p>
    <w:p w14:paraId="469295CB">
      <w:pPr>
        <w:spacing w:line="440" w:lineRule="exac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经营期限：</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p>
    <w:p w14:paraId="461D858A">
      <w:pPr>
        <w:spacing w:line="440" w:lineRule="exac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姓名：</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性别：</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年龄：</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职务：</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p>
    <w:p w14:paraId="6385C1F2">
      <w:pPr>
        <w:spacing w:line="440" w:lineRule="exac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系</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的法定代表人。</w:t>
      </w:r>
    </w:p>
    <w:p w14:paraId="6648B16F">
      <w:pPr>
        <w:spacing w:line="440" w:lineRule="exact"/>
        <w:ind w:firstLine="440" w:firstLineChars="20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特此证明。</w:t>
      </w:r>
    </w:p>
    <w:p w14:paraId="32A3EC08">
      <w:pPr>
        <w:spacing w:line="440" w:lineRule="exac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p w14:paraId="28E6AB8D">
      <w:pPr>
        <w:spacing w:line="440" w:lineRule="exac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p w14:paraId="46B45966">
      <w:pPr>
        <w:spacing w:line="440" w:lineRule="exac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（盖单位公章）</w:t>
      </w:r>
    </w:p>
    <w:p w14:paraId="02F2EC4B">
      <w:pPr>
        <w:spacing w:line="440" w:lineRule="exac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年</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月</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日           </w:t>
      </w:r>
    </w:p>
    <w:p w14:paraId="4AA4DD11">
      <w:pPr>
        <w:spacing w:line="440" w:lineRule="exac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附件：法定代表人身份证复印件</w:t>
      </w:r>
    </w:p>
    <w:p w14:paraId="27EF85B0">
      <w:pPr>
        <w:pStyle w:val="42"/>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24EC4340">
      <w:pPr>
        <w:pStyle w:val="4"/>
        <w:keepNext w:val="0"/>
        <w:keepLines w:val="0"/>
        <w:pageBreakBefore w:val="0"/>
        <w:widowControl w:val="0"/>
        <w:kinsoku/>
        <w:wordWrap/>
        <w:overflowPunct/>
        <w:topLinePunct w:val="0"/>
        <w:autoSpaceDE/>
        <w:autoSpaceDN/>
        <w:bidi w:val="0"/>
        <w:adjustRightInd/>
        <w:snapToGrid/>
        <w:ind w:left="0"/>
        <w:jc w:val="center"/>
        <w:textAlignment w:val="auto"/>
        <w:outlineLvl w:val="2"/>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0"/>
          <w:szCs w:val="20"/>
          <w:highlight w:val="none"/>
          <w14:textFill>
            <w14:solidFill>
              <w14:schemeClr w14:val="tx1"/>
            </w14:solidFill>
          </w14:textFill>
        </w:rPr>
        <w:br w:type="page"/>
      </w:r>
      <w:bookmarkStart w:id="110" w:name="_Toc247085878"/>
      <w:bookmarkStart w:id="111" w:name="_Toc31061"/>
      <w:bookmarkStart w:id="112" w:name="_Toc152042581"/>
      <w:bookmarkStart w:id="113" w:name="_Toc152045792"/>
      <w:bookmarkStart w:id="114" w:name="_Toc27560"/>
      <w:bookmarkStart w:id="115" w:name="_Toc437531076"/>
      <w:bookmarkStart w:id="116" w:name="_Toc144974861"/>
      <w:bookmarkStart w:id="117" w:name="_Toc26299"/>
      <w:bookmarkStart w:id="118" w:name="_Toc246996360"/>
      <w:bookmarkStart w:id="119" w:name="_Toc246997103"/>
      <w:bookmarkStart w:id="120" w:name="_Toc179632812"/>
      <w:bookmarkStart w:id="121" w:name="_Toc420868155"/>
      <w:r>
        <w:rPr>
          <w:rFonts w:hint="eastAsia" w:asciiTheme="minorEastAsia" w:hAnsiTheme="minorEastAsia" w:eastAsiaTheme="minorEastAsia" w:cstheme="minorEastAsia"/>
          <w:color w:val="000000" w:themeColor="text1"/>
          <w:sz w:val="20"/>
          <w:szCs w:val="20"/>
          <w:highlight w:val="none"/>
          <w:u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t>二）授权委托书</w:t>
      </w:r>
      <w:bookmarkEnd w:id="110"/>
      <w:bookmarkEnd w:id="111"/>
      <w:bookmarkEnd w:id="112"/>
      <w:bookmarkEnd w:id="113"/>
      <w:bookmarkEnd w:id="114"/>
      <w:bookmarkEnd w:id="115"/>
      <w:bookmarkEnd w:id="116"/>
      <w:bookmarkEnd w:id="117"/>
      <w:bookmarkEnd w:id="118"/>
      <w:bookmarkEnd w:id="119"/>
      <w:bookmarkEnd w:id="120"/>
      <w:bookmarkEnd w:id="121"/>
    </w:p>
    <w:p w14:paraId="002F8557">
      <w:pPr>
        <w:spacing w:line="440" w:lineRule="exac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p w14:paraId="6280D527">
      <w:pPr>
        <w:topLinePunct/>
        <w:spacing w:line="440" w:lineRule="exact"/>
        <w:ind w:firstLine="440" w:firstLineChars="20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本人</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（姓名）系</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（单位名称）的法定代表人，现委托</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（姓名）为我方代理人。代理人根据授权，以我方名义签署、澄清、说明、补正、递交、撤回、修改</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（项目名称）投标文件、签订合同和处理有关事宜，其法律后果由我方承担。</w:t>
      </w:r>
    </w:p>
    <w:p w14:paraId="5C11352D">
      <w:pPr>
        <w:spacing w:line="440" w:lineRule="exact"/>
        <w:ind w:firstLine="440" w:firstLineChars="20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委托期限（不得少天投标有效期）：</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p w14:paraId="7DA0DA8F">
      <w:pPr>
        <w:spacing w:line="440" w:lineRule="exact"/>
        <w:ind w:firstLine="440" w:firstLineChars="20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代理人无转委托权。</w:t>
      </w:r>
    </w:p>
    <w:p w14:paraId="6AD5A49C">
      <w:pPr>
        <w:spacing w:line="440" w:lineRule="exact"/>
        <w:ind w:firstLine="440" w:firstLineChars="20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附：法定代表人身份证明</w:t>
      </w:r>
    </w:p>
    <w:p w14:paraId="40ADC978">
      <w:pPr>
        <w:spacing w:line="440" w:lineRule="exac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p w14:paraId="24C73977">
      <w:pPr>
        <w:spacing w:line="440" w:lineRule="exac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p w14:paraId="27F61E36">
      <w:pPr>
        <w:autoSpaceDE w:val="0"/>
        <w:autoSpaceDN w:val="0"/>
        <w:adjustRightInd w:val="0"/>
        <w:spacing w:line="440" w:lineRule="exact"/>
        <w:ind w:firstLine="3392" w:firstLineChars="1542"/>
        <w:jc w:val="left"/>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（盖单位公章）</w:t>
      </w:r>
    </w:p>
    <w:p w14:paraId="6AF30DE8">
      <w:pPr>
        <w:autoSpaceDE w:val="0"/>
        <w:autoSpaceDN w:val="0"/>
        <w:adjustRightInd w:val="0"/>
        <w:spacing w:line="440" w:lineRule="exact"/>
        <w:ind w:firstLine="3392" w:firstLineChars="1542"/>
        <w:jc w:val="left"/>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法定代表人：</w:t>
      </w:r>
      <w:r>
        <w:rPr>
          <w:rFonts w:hint="eastAsia" w:asciiTheme="minorEastAsia" w:hAnsiTheme="minorEastAsia" w:eastAsiaTheme="minorEastAsia" w:cstheme="minorEastAsia"/>
          <w:color w:val="000000" w:themeColor="text1"/>
          <w:kern w:val="0"/>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 xml:space="preserve"> （签字或盖章）</w:t>
      </w:r>
    </w:p>
    <w:p w14:paraId="16EA0420">
      <w:pPr>
        <w:autoSpaceDE w:val="0"/>
        <w:autoSpaceDN w:val="0"/>
        <w:adjustRightInd w:val="0"/>
        <w:spacing w:line="440" w:lineRule="exact"/>
        <w:ind w:firstLine="3392" w:firstLineChars="1542"/>
        <w:jc w:val="left"/>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身份证号码：</w:t>
      </w:r>
      <w:r>
        <w:rPr>
          <w:rFonts w:hint="eastAsia" w:asciiTheme="minorEastAsia" w:hAnsiTheme="minorEastAsia" w:eastAsiaTheme="minorEastAsia" w:cstheme="minorEastAsia"/>
          <w:color w:val="000000" w:themeColor="text1"/>
          <w:kern w:val="0"/>
          <w:szCs w:val="21"/>
          <w:highlight w:val="none"/>
          <w:u w:val="single"/>
          <w14:textFill>
            <w14:solidFill>
              <w14:schemeClr w14:val="tx1"/>
            </w14:solidFill>
          </w14:textFill>
        </w:rPr>
        <w:t xml:space="preserve">                 </w:t>
      </w:r>
    </w:p>
    <w:p w14:paraId="54005865">
      <w:pPr>
        <w:autoSpaceDE w:val="0"/>
        <w:autoSpaceDN w:val="0"/>
        <w:adjustRightInd w:val="0"/>
        <w:spacing w:line="440" w:lineRule="exact"/>
        <w:ind w:firstLine="3392" w:firstLineChars="1542"/>
        <w:jc w:val="left"/>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委托代理人：</w:t>
      </w:r>
      <w:r>
        <w:rPr>
          <w:rFonts w:hint="eastAsia" w:asciiTheme="minorEastAsia" w:hAnsiTheme="minorEastAsia" w:eastAsiaTheme="minorEastAsia" w:cstheme="minorEastAsia"/>
          <w:color w:val="000000" w:themeColor="text1"/>
          <w:kern w:val="0"/>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 xml:space="preserve"> （签字或盖章）</w:t>
      </w:r>
    </w:p>
    <w:p w14:paraId="0D166B81">
      <w:pPr>
        <w:autoSpaceDE w:val="0"/>
        <w:autoSpaceDN w:val="0"/>
        <w:adjustRightInd w:val="0"/>
        <w:spacing w:line="440" w:lineRule="exact"/>
        <w:ind w:firstLine="3392" w:firstLineChars="1542"/>
        <w:jc w:val="left"/>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身份证号码：</w:t>
      </w:r>
      <w:r>
        <w:rPr>
          <w:rFonts w:hint="eastAsia" w:asciiTheme="minorEastAsia" w:hAnsiTheme="minorEastAsia" w:eastAsiaTheme="minorEastAsia" w:cstheme="minorEastAsia"/>
          <w:color w:val="000000" w:themeColor="text1"/>
          <w:kern w:val="0"/>
          <w:szCs w:val="21"/>
          <w:highlight w:val="none"/>
          <w:u w:val="single"/>
          <w14:textFill>
            <w14:solidFill>
              <w14:schemeClr w14:val="tx1"/>
            </w14:solidFill>
          </w14:textFill>
        </w:rPr>
        <w:t xml:space="preserve">                    </w:t>
      </w:r>
    </w:p>
    <w:p w14:paraId="41F0BB18">
      <w:pPr>
        <w:autoSpaceDE w:val="0"/>
        <w:autoSpaceDN w:val="0"/>
        <w:adjustRightInd w:val="0"/>
        <w:spacing w:line="440" w:lineRule="exact"/>
        <w:ind w:firstLine="4488" w:firstLineChars="2040"/>
        <w:jc w:val="left"/>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年</w:t>
      </w:r>
      <w:r>
        <w:rPr>
          <w:rFonts w:hint="eastAsia" w:asciiTheme="minorEastAsia" w:hAnsiTheme="minorEastAsia" w:eastAsiaTheme="minorEastAsia" w:cstheme="minorEastAsia"/>
          <w:color w:val="000000" w:themeColor="text1"/>
          <w:kern w:val="0"/>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月</w:t>
      </w:r>
      <w:r>
        <w:rPr>
          <w:rFonts w:hint="eastAsia" w:asciiTheme="minorEastAsia" w:hAnsiTheme="minorEastAsia" w:eastAsiaTheme="minorEastAsia" w:cstheme="minorEastAsia"/>
          <w:color w:val="000000" w:themeColor="text1"/>
          <w:kern w:val="0"/>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 xml:space="preserve"> 日</w:t>
      </w:r>
    </w:p>
    <w:p w14:paraId="3E83AE7E">
      <w:pPr>
        <w:autoSpaceDE w:val="0"/>
        <w:autoSpaceDN w:val="0"/>
        <w:adjustRightInd w:val="0"/>
        <w:spacing w:line="440" w:lineRule="exact"/>
        <w:jc w:val="left"/>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附：法定代表人及授权委托人身份证复印件</w:t>
      </w:r>
    </w:p>
    <w:p w14:paraId="194617BE">
      <w:pPr>
        <w:pStyle w:val="42"/>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76F8CC72">
      <w:pPr>
        <w:spacing w:line="400" w:lineRule="exac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0"/>
          <w:szCs w:val="20"/>
          <w:highlight w:val="none"/>
          <w14:textFill>
            <w14:solidFill>
              <w14:schemeClr w14:val="tx1"/>
            </w14:solidFill>
          </w14:textFill>
        </w:rPr>
        <w:br w:type="page"/>
      </w:r>
    </w:p>
    <w:p w14:paraId="0983F568">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eastAsia" w:ascii="宋体" w:hAnsi="宋体" w:eastAsia="宋体" w:cs="宋体"/>
          <w:b/>
          <w:color w:val="auto"/>
          <w:sz w:val="32"/>
          <w:szCs w:val="32"/>
          <w:highlight w:val="none"/>
        </w:rPr>
      </w:pPr>
      <w:bookmarkStart w:id="122" w:name="_Toc247085880"/>
      <w:bookmarkStart w:id="123" w:name="_Toc1254"/>
      <w:bookmarkStart w:id="124" w:name="_Toc246997105"/>
      <w:bookmarkStart w:id="125" w:name="_Toc4143"/>
      <w:bookmarkStart w:id="126" w:name="_Toc246996362"/>
      <w:bookmarkStart w:id="127" w:name="_Toc152042583"/>
      <w:bookmarkStart w:id="128" w:name="_Toc144974862"/>
      <w:bookmarkStart w:id="129" w:name="_Toc7145"/>
      <w:bookmarkStart w:id="130" w:name="_Toc179632814"/>
      <w:bookmarkStart w:id="131" w:name="_Toc11728"/>
      <w:bookmarkStart w:id="132" w:name="_Toc420868156"/>
      <w:bookmarkStart w:id="133" w:name="_Toc152045794"/>
      <w:r>
        <w:rPr>
          <w:rFonts w:hint="eastAsia" w:ascii="宋体" w:hAnsi="宋体" w:eastAsia="宋体" w:cs="宋体"/>
          <w:b/>
          <w:color w:val="auto"/>
          <w:sz w:val="32"/>
          <w:szCs w:val="32"/>
          <w:highlight w:val="none"/>
        </w:rPr>
        <w:t>三、</w:t>
      </w:r>
      <w:bookmarkEnd w:id="122"/>
      <w:bookmarkEnd w:id="123"/>
      <w:bookmarkEnd w:id="124"/>
      <w:bookmarkEnd w:id="125"/>
      <w:bookmarkEnd w:id="126"/>
      <w:bookmarkEnd w:id="127"/>
      <w:bookmarkEnd w:id="128"/>
      <w:bookmarkEnd w:id="129"/>
      <w:bookmarkEnd w:id="130"/>
      <w:bookmarkEnd w:id="131"/>
      <w:bookmarkEnd w:id="132"/>
      <w:bookmarkEnd w:id="133"/>
      <w:bookmarkStart w:id="134" w:name="_Toc1662"/>
      <w:bookmarkStart w:id="135" w:name="_Toc27986"/>
      <w:r>
        <w:rPr>
          <w:rFonts w:hint="eastAsia" w:ascii="宋体" w:hAnsi="宋体" w:eastAsia="宋体" w:cs="宋体"/>
          <w:b/>
          <w:color w:val="auto"/>
          <w:sz w:val="32"/>
          <w:szCs w:val="32"/>
          <w:highlight w:val="none"/>
          <w:lang w:val="en-US" w:eastAsia="zh-CN"/>
        </w:rPr>
        <w:t>竞标</w:t>
      </w:r>
      <w:r>
        <w:rPr>
          <w:rFonts w:hint="eastAsia" w:ascii="宋体" w:hAnsi="宋体" w:eastAsia="宋体" w:cs="宋体"/>
          <w:b/>
          <w:color w:val="auto"/>
          <w:sz w:val="32"/>
          <w:szCs w:val="32"/>
          <w:highlight w:val="none"/>
        </w:rPr>
        <w:t>报价表</w:t>
      </w:r>
    </w:p>
    <w:p w14:paraId="2104AB9D">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eastAsia" w:ascii="宋体" w:hAnsi="宋体" w:eastAsia="宋体" w:cs="宋体"/>
          <w:b/>
          <w:color w:val="auto"/>
          <w:sz w:val="32"/>
          <w:szCs w:val="32"/>
          <w:highlight w:val="none"/>
        </w:rPr>
      </w:pPr>
    </w:p>
    <w:p w14:paraId="62AD4A6D">
      <w:pPr>
        <w:pStyle w:val="14"/>
        <w:spacing w:line="360" w:lineRule="auto"/>
        <w:ind w:left="650" w:leftChars="200" w:hanging="210" w:hangingChars="100"/>
        <w:rPr>
          <w:rFonts w:hint="default" w:hAnsi="宋体" w:eastAsia="宋体" w:cs="宋体"/>
          <w:color w:val="auto"/>
          <w:sz w:val="21"/>
          <w:szCs w:val="21"/>
          <w:lang w:val="en-US" w:eastAsia="zh-CN"/>
        </w:rPr>
      </w:pPr>
      <w:r>
        <w:rPr>
          <w:rFonts w:hint="eastAsia" w:hAnsi="宋体" w:cs="宋体"/>
          <w:color w:val="auto"/>
          <w:sz w:val="21"/>
          <w:szCs w:val="21"/>
        </w:rPr>
        <w:t>项目名称：</w:t>
      </w:r>
      <w:r>
        <w:rPr>
          <w:rFonts w:hint="eastAsia" w:hAnsi="宋体" w:cs="宋体"/>
          <w:color w:val="auto"/>
          <w:sz w:val="21"/>
          <w:szCs w:val="21"/>
          <w:u w:val="single"/>
          <w:lang w:val="en-US" w:eastAsia="zh-CN"/>
        </w:rPr>
        <w:t xml:space="preserve">                </w:t>
      </w:r>
    </w:p>
    <w:p w14:paraId="797D5C01">
      <w:pPr>
        <w:snapToGrid w:val="0"/>
        <w:ind w:firstLine="420" w:firstLineChars="200"/>
        <w:jc w:val="left"/>
        <w:rPr>
          <w:rFonts w:hint="eastAsia" w:ascii="宋体" w:hAnsi="宋体" w:cs="宋体"/>
          <w:color w:val="auto"/>
        </w:rPr>
      </w:pPr>
      <w:r>
        <w:rPr>
          <w:rFonts w:hint="eastAsia" w:ascii="宋体" w:hAnsi="宋体" w:cs="宋体"/>
          <w:color w:val="auto"/>
          <w:sz w:val="21"/>
          <w:szCs w:val="21"/>
        </w:rPr>
        <w:t>项目编号：</w:t>
      </w:r>
      <w:r>
        <w:rPr>
          <w:rFonts w:hint="eastAsia" w:ascii="宋体" w:hAnsi="宋体" w:cs="宋体"/>
          <w:color w:val="auto"/>
          <w:sz w:val="21"/>
          <w:szCs w:val="21"/>
          <w:u w:val="single"/>
        </w:rPr>
        <w:t xml:space="preserve">     </w:t>
      </w:r>
      <w:r>
        <w:rPr>
          <w:rFonts w:hint="eastAsia" w:ascii="宋体" w:hAnsi="宋体" w:cs="宋体"/>
          <w:color w:val="auto"/>
          <w:sz w:val="21"/>
          <w:szCs w:val="21"/>
          <w:u w:val="single"/>
          <w:lang w:val="en-US" w:eastAsia="zh-CN"/>
        </w:rPr>
        <w:t xml:space="preserve">       </w:t>
      </w:r>
      <w:r>
        <w:rPr>
          <w:rFonts w:hint="eastAsia" w:ascii="宋体" w:hAnsi="宋体" w:cs="宋体"/>
          <w:color w:val="auto"/>
          <w:sz w:val="21"/>
          <w:szCs w:val="21"/>
          <w:u w:val="single"/>
        </w:rPr>
        <w:t xml:space="preserve">      </w:t>
      </w:r>
      <w:r>
        <w:rPr>
          <w:rFonts w:hint="eastAsia" w:ascii="宋体" w:hAnsi="宋体" w:cs="宋体"/>
          <w:color w:val="auto"/>
          <w:sz w:val="21"/>
          <w:szCs w:val="21"/>
        </w:rPr>
        <w:t xml:space="preserve">  </w:t>
      </w:r>
      <w:r>
        <w:rPr>
          <w:rFonts w:hint="eastAsia" w:ascii="宋体" w:hAnsi="宋体" w:cs="宋体"/>
          <w:color w:val="auto"/>
        </w:rPr>
        <w:t xml:space="preserve">                                          </w:t>
      </w:r>
    </w:p>
    <w:p w14:paraId="45AF10AC">
      <w:pPr>
        <w:snapToGrid w:val="0"/>
        <w:ind w:firstLine="440" w:firstLineChars="200"/>
        <w:jc w:val="right"/>
        <w:rPr>
          <w:rFonts w:hint="eastAsia" w:ascii="宋体" w:hAnsi="宋体" w:cs="宋体"/>
          <w:color w:val="auto"/>
        </w:rPr>
      </w:pPr>
      <w:r>
        <w:rPr>
          <w:rFonts w:hint="eastAsia" w:ascii="宋体" w:hAnsi="宋体" w:cs="宋体"/>
          <w:color w:val="auto"/>
        </w:rPr>
        <w:t>金额单位：人民币（元）</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6503"/>
      </w:tblGrid>
      <w:tr w14:paraId="7A65A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5" w:hRule="atLeast"/>
          <w:jc w:val="center"/>
        </w:trPr>
        <w:tc>
          <w:tcPr>
            <w:tcW w:w="2660" w:type="dxa"/>
            <w:noWrap w:val="0"/>
            <w:vAlign w:val="center"/>
          </w:tcPr>
          <w:p w14:paraId="28BBD6E2">
            <w:pPr>
              <w:pStyle w:val="14"/>
              <w:jc w:val="center"/>
              <w:rPr>
                <w:rFonts w:hint="eastAsia" w:hAnsi="宋体"/>
                <w:b/>
                <w:color w:val="auto"/>
                <w:spacing w:val="-6"/>
                <w:sz w:val="21"/>
                <w:szCs w:val="21"/>
              </w:rPr>
            </w:pPr>
            <w:r>
              <w:rPr>
                <w:rFonts w:hint="eastAsia" w:hAnsi="宋体" w:eastAsia="宋体" w:cs="宋体"/>
                <w:i w:val="0"/>
                <w:iCs w:val="0"/>
                <w:color w:val="000000"/>
                <w:kern w:val="0"/>
                <w:sz w:val="21"/>
                <w:szCs w:val="21"/>
                <w:highlight w:val="none"/>
                <w:u w:val="none"/>
                <w:lang w:val="en-US" w:eastAsia="zh-CN" w:bidi="ar"/>
              </w:rPr>
              <w:t>竞标</w:t>
            </w:r>
            <w:r>
              <w:rPr>
                <w:rFonts w:hint="eastAsia" w:ascii="宋体" w:hAnsi="宋体" w:eastAsia="宋体" w:cs="宋体"/>
                <w:i w:val="0"/>
                <w:iCs w:val="0"/>
                <w:color w:val="000000"/>
                <w:kern w:val="0"/>
                <w:sz w:val="21"/>
                <w:szCs w:val="21"/>
                <w:highlight w:val="none"/>
                <w:u w:val="none"/>
                <w:lang w:val="en-US" w:eastAsia="zh-CN" w:bidi="ar"/>
              </w:rPr>
              <w:t>总报价</w:t>
            </w:r>
            <w:r>
              <w:rPr>
                <w:rFonts w:hint="eastAsia" w:ascii="宋体" w:hAnsi="宋体" w:eastAsia="宋体" w:cs="宋体"/>
                <w:color w:val="auto"/>
                <w:kern w:val="0"/>
                <w:sz w:val="21"/>
                <w:szCs w:val="21"/>
                <w:highlight w:val="none"/>
              </w:rPr>
              <w:t>（含税）</w:t>
            </w:r>
          </w:p>
        </w:tc>
        <w:tc>
          <w:tcPr>
            <w:tcW w:w="6503" w:type="dxa"/>
            <w:noWrap w:val="0"/>
            <w:vAlign w:val="center"/>
          </w:tcPr>
          <w:p w14:paraId="50686899">
            <w:pPr>
              <w:pStyle w:val="14"/>
              <w:rPr>
                <w:rFonts w:hint="eastAsia" w:hAnsi="宋体"/>
                <w:bCs/>
                <w:color w:val="auto"/>
                <w:sz w:val="21"/>
                <w:szCs w:val="21"/>
              </w:rPr>
            </w:pPr>
            <w:r>
              <w:rPr>
                <w:rFonts w:hint="eastAsia" w:hAnsi="宋体" w:cs="宋体"/>
                <w:bCs/>
                <w:color w:val="auto"/>
                <w:sz w:val="21"/>
                <w:szCs w:val="21"/>
              </w:rPr>
              <w:t>大写：</w:t>
            </w:r>
            <w:r>
              <w:rPr>
                <w:rFonts w:hint="eastAsia" w:hAnsi="宋体" w:cs="宋体"/>
                <w:bCs/>
                <w:color w:val="auto"/>
                <w:sz w:val="21"/>
                <w:szCs w:val="21"/>
                <w:u w:val="single"/>
              </w:rPr>
              <w:t xml:space="preserve">       </w:t>
            </w:r>
            <w:r>
              <w:rPr>
                <w:rFonts w:hint="eastAsia" w:hAnsi="宋体" w:cs="宋体"/>
                <w:bCs/>
                <w:color w:val="auto"/>
                <w:sz w:val="21"/>
                <w:szCs w:val="21"/>
                <w:u w:val="single"/>
                <w:lang w:val="en-US" w:eastAsia="zh-CN"/>
              </w:rPr>
              <w:t xml:space="preserve"> </w:t>
            </w:r>
            <w:r>
              <w:rPr>
                <w:rFonts w:hint="eastAsia" w:hAnsi="宋体" w:cs="宋体"/>
                <w:bCs/>
                <w:color w:val="auto"/>
                <w:sz w:val="21"/>
                <w:szCs w:val="21"/>
                <w:u w:val="single"/>
              </w:rPr>
              <w:t xml:space="preserve"> </w:t>
            </w:r>
            <w:r>
              <w:rPr>
                <w:rFonts w:hint="eastAsia" w:hAnsi="宋体" w:cs="宋体"/>
                <w:bCs/>
                <w:color w:val="auto"/>
                <w:sz w:val="21"/>
                <w:szCs w:val="21"/>
                <w:u w:val="single"/>
                <w:lang w:val="en-US" w:eastAsia="zh-CN"/>
              </w:rPr>
              <w:t xml:space="preserve">  </w:t>
            </w:r>
            <w:r>
              <w:rPr>
                <w:rFonts w:hint="eastAsia" w:hAnsi="宋体" w:cs="宋体"/>
                <w:bCs/>
                <w:color w:val="auto"/>
                <w:sz w:val="21"/>
                <w:szCs w:val="21"/>
                <w:u w:val="single"/>
              </w:rPr>
              <w:t xml:space="preserve">        </w:t>
            </w:r>
            <w:r>
              <w:rPr>
                <w:rFonts w:hint="eastAsia" w:hAnsi="宋体" w:cs="宋体"/>
                <w:bCs/>
                <w:color w:val="auto"/>
                <w:sz w:val="21"/>
                <w:szCs w:val="21"/>
              </w:rPr>
              <w:t xml:space="preserve"> （小写：￥</w:t>
            </w:r>
            <w:r>
              <w:rPr>
                <w:rFonts w:hint="eastAsia" w:hAnsi="宋体" w:cs="宋体"/>
                <w:bCs/>
                <w:color w:val="auto"/>
                <w:sz w:val="21"/>
                <w:szCs w:val="21"/>
                <w:u w:val="single"/>
              </w:rPr>
              <w:t xml:space="preserve">      </w:t>
            </w:r>
            <w:r>
              <w:rPr>
                <w:rFonts w:hint="eastAsia" w:hAnsi="宋体" w:cs="宋体"/>
                <w:bCs/>
                <w:color w:val="auto"/>
                <w:sz w:val="21"/>
                <w:szCs w:val="21"/>
                <w:u w:val="single"/>
                <w:lang w:val="en-US" w:eastAsia="zh-CN"/>
              </w:rPr>
              <w:t xml:space="preserve"> </w:t>
            </w:r>
            <w:r>
              <w:rPr>
                <w:rFonts w:hint="eastAsia" w:hAnsi="宋体" w:cs="宋体"/>
                <w:bCs/>
                <w:color w:val="auto"/>
                <w:sz w:val="21"/>
                <w:szCs w:val="21"/>
                <w:u w:val="single"/>
              </w:rPr>
              <w:t xml:space="preserve"> </w:t>
            </w:r>
            <w:r>
              <w:rPr>
                <w:rFonts w:hint="eastAsia" w:hAnsi="宋体" w:cs="宋体"/>
                <w:bCs/>
                <w:color w:val="auto"/>
                <w:sz w:val="21"/>
                <w:szCs w:val="21"/>
                <w:u w:val="single"/>
                <w:lang w:val="en-US" w:eastAsia="zh-CN"/>
              </w:rPr>
              <w:t xml:space="preserve">  </w:t>
            </w:r>
            <w:r>
              <w:rPr>
                <w:rFonts w:hint="eastAsia" w:hAnsi="宋体" w:cs="宋体"/>
                <w:bCs/>
                <w:color w:val="auto"/>
                <w:sz w:val="21"/>
                <w:szCs w:val="21"/>
                <w:u w:val="single"/>
              </w:rPr>
              <w:t xml:space="preserve">     </w:t>
            </w:r>
            <w:r>
              <w:rPr>
                <w:rFonts w:hint="eastAsia" w:hAnsi="宋体" w:cs="宋体"/>
                <w:bCs/>
                <w:color w:val="auto"/>
                <w:sz w:val="21"/>
                <w:szCs w:val="21"/>
              </w:rPr>
              <w:t xml:space="preserve">） </w:t>
            </w:r>
          </w:p>
        </w:tc>
      </w:tr>
      <w:tr w14:paraId="2348D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8" w:hRule="atLeast"/>
          <w:jc w:val="center"/>
        </w:trPr>
        <w:tc>
          <w:tcPr>
            <w:tcW w:w="2660" w:type="dxa"/>
            <w:noWrap w:val="0"/>
            <w:vAlign w:val="center"/>
          </w:tcPr>
          <w:p w14:paraId="1EF4E8CE">
            <w:pPr>
              <w:pStyle w:val="14"/>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项目完成时间要求</w:t>
            </w:r>
          </w:p>
        </w:tc>
        <w:tc>
          <w:tcPr>
            <w:tcW w:w="6503" w:type="dxa"/>
            <w:noWrap w:val="0"/>
            <w:vAlign w:val="center"/>
          </w:tcPr>
          <w:p w14:paraId="3E53B001">
            <w:pPr>
              <w:keepNext w:val="0"/>
              <w:keepLines w:val="0"/>
              <w:pageBreakBefore w:val="0"/>
              <w:widowControl/>
              <w:kinsoku/>
              <w:wordWrap/>
              <w:overflowPunct/>
              <w:topLinePunct w:val="0"/>
              <w:bidi w:val="0"/>
              <w:snapToGrid/>
              <w:spacing w:line="380" w:lineRule="exact"/>
              <w:jc w:val="left"/>
              <w:rPr>
                <w:rFonts w:hint="eastAsia" w:hAnsi="宋体"/>
                <w:bCs/>
                <w:color w:val="auto"/>
              </w:rPr>
            </w:pPr>
          </w:p>
        </w:tc>
      </w:tr>
      <w:tr w14:paraId="103C7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jc w:val="center"/>
        </w:trPr>
        <w:tc>
          <w:tcPr>
            <w:tcW w:w="9163" w:type="dxa"/>
            <w:gridSpan w:val="2"/>
            <w:noWrap w:val="0"/>
            <w:vAlign w:val="center"/>
          </w:tcPr>
          <w:p w14:paraId="2E87A749">
            <w:pPr>
              <w:pStyle w:val="14"/>
              <w:rPr>
                <w:rFonts w:hint="eastAsia" w:hAnsi="宋体"/>
                <w:bCs/>
                <w:color w:val="auto"/>
              </w:rPr>
            </w:pPr>
            <w:r>
              <w:rPr>
                <w:rFonts w:hint="eastAsia" w:ascii="宋体" w:hAnsi="宋体" w:eastAsia="宋体" w:cs="宋体"/>
                <w:i w:val="0"/>
                <w:iCs w:val="0"/>
                <w:color w:val="000000"/>
                <w:kern w:val="0"/>
                <w:sz w:val="22"/>
                <w:szCs w:val="22"/>
                <w:u w:val="none"/>
                <w:lang w:val="en-US" w:eastAsia="zh-CN" w:bidi="ar"/>
              </w:rPr>
              <w:t>备注：</w:t>
            </w:r>
          </w:p>
        </w:tc>
      </w:tr>
    </w:tbl>
    <w:p w14:paraId="416BAD8D">
      <w:pPr>
        <w:keepNext w:val="0"/>
        <w:keepLines w:val="0"/>
        <w:pageBreakBefore w:val="0"/>
        <w:widowControl w:val="0"/>
        <w:numPr>
          <w:ilvl w:val="0"/>
          <w:numId w:val="0"/>
        </w:numPr>
        <w:kinsoku/>
        <w:wordWrap/>
        <w:overflowPunct/>
        <w:topLinePunct w:val="0"/>
        <w:autoSpaceDE/>
        <w:autoSpaceDN/>
        <w:bidi w:val="0"/>
        <w:adjustRightInd/>
        <w:snapToGrid/>
        <w:spacing w:line="340" w:lineRule="exact"/>
        <w:textAlignment w:val="auto"/>
        <w:rPr>
          <w:rFonts w:hint="eastAsia" w:ascii="宋体" w:hAnsi="宋体" w:eastAsia="宋体" w:cs="宋体"/>
          <w:color w:val="auto"/>
          <w:szCs w:val="21"/>
          <w:highlight w:val="none"/>
        </w:rPr>
      </w:pPr>
    </w:p>
    <w:p w14:paraId="2A7F54DE">
      <w:pPr>
        <w:keepNext w:val="0"/>
        <w:keepLines w:val="0"/>
        <w:pageBreakBefore w:val="0"/>
        <w:widowControl w:val="0"/>
        <w:numPr>
          <w:ilvl w:val="0"/>
          <w:numId w:val="0"/>
        </w:numPr>
        <w:kinsoku/>
        <w:wordWrap/>
        <w:overflowPunct/>
        <w:topLinePunct w:val="0"/>
        <w:autoSpaceDE/>
        <w:autoSpaceDN/>
        <w:bidi w:val="0"/>
        <w:adjustRightInd/>
        <w:snapToGrid/>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14:paraId="19CEAB01">
      <w:pPr>
        <w:keepNext w:val="0"/>
        <w:keepLines w:val="0"/>
        <w:pageBreakBefore w:val="0"/>
        <w:widowControl w:val="0"/>
        <w:kinsoku/>
        <w:wordWrap/>
        <w:overflowPunct/>
        <w:topLinePunct w:val="0"/>
        <w:autoSpaceDE/>
        <w:autoSpaceDN/>
        <w:bidi w:val="0"/>
        <w:adjustRightInd/>
        <w:snapToGrid/>
        <w:spacing w:line="340" w:lineRule="exact"/>
        <w:ind w:firstLine="440" w:firstLineChars="200"/>
        <w:textAlignment w:val="auto"/>
        <w:rPr>
          <w:rFonts w:hint="default" w:ascii="宋体" w:hAnsi="宋体" w:eastAsia="宋体" w:cs="宋体"/>
          <w:color w:val="auto"/>
          <w:szCs w:val="21"/>
          <w:highlight w:val="none"/>
          <w:lang w:val="en-US"/>
        </w:rPr>
      </w:pPr>
      <w:r>
        <w:rPr>
          <w:rFonts w:hint="eastAsia" w:ascii="宋体" w:hAnsi="宋体" w:eastAsia="宋体" w:cs="宋体"/>
          <w:color w:val="auto"/>
          <w:szCs w:val="21"/>
          <w:highlight w:val="none"/>
        </w:rPr>
        <w:t>1. 投标人对</w:t>
      </w:r>
      <w:r>
        <w:rPr>
          <w:rFonts w:hint="eastAsia" w:ascii="宋体" w:hAnsi="宋体" w:cs="宋体"/>
          <w:color w:val="auto"/>
          <w:szCs w:val="21"/>
          <w:highlight w:val="none"/>
          <w:lang w:val="en-US" w:eastAsia="zh-CN"/>
        </w:rPr>
        <w:t>以上项目</w:t>
      </w:r>
      <w:r>
        <w:rPr>
          <w:rFonts w:hint="eastAsia" w:ascii="宋体" w:hAnsi="宋体" w:eastAsia="宋体" w:cs="宋体"/>
          <w:color w:val="auto"/>
          <w:szCs w:val="21"/>
          <w:highlight w:val="none"/>
        </w:rPr>
        <w:t>进行自主报价</w:t>
      </w:r>
      <w:r>
        <w:rPr>
          <w:rFonts w:hint="eastAsia" w:ascii="宋体" w:hAnsi="宋体" w:cs="宋体"/>
          <w:color w:val="auto"/>
          <w:sz w:val="21"/>
          <w:szCs w:val="21"/>
          <w:highlight w:val="none"/>
          <w:lang w:val="en-US" w:eastAsia="zh-CN"/>
        </w:rPr>
        <w:t>，投标总报价不得高于最高限价。</w:t>
      </w:r>
    </w:p>
    <w:p w14:paraId="3E6EF560">
      <w:pPr>
        <w:keepNext w:val="0"/>
        <w:keepLines w:val="0"/>
        <w:pageBreakBefore w:val="0"/>
        <w:widowControl w:val="0"/>
        <w:kinsoku/>
        <w:wordWrap/>
        <w:overflowPunct/>
        <w:topLinePunct w:val="0"/>
        <w:autoSpaceDE/>
        <w:autoSpaceDN/>
        <w:bidi w:val="0"/>
        <w:adjustRightInd/>
        <w:snapToGrid/>
        <w:spacing w:line="340" w:lineRule="exact"/>
        <w:ind w:firstLine="44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2.报价一经涂改，应在涂改处加盖单位公章或者由法定代表人或授权委托人签字或盖章，否则其投标作无效标处理。</w:t>
      </w:r>
    </w:p>
    <w:p w14:paraId="7158F8C0">
      <w:pPr>
        <w:keepNext w:val="0"/>
        <w:keepLines w:val="0"/>
        <w:pageBreakBefore w:val="0"/>
        <w:widowControl w:val="0"/>
        <w:kinsoku/>
        <w:wordWrap/>
        <w:overflowPunct/>
        <w:topLinePunct w:val="0"/>
        <w:autoSpaceDE/>
        <w:autoSpaceDN/>
        <w:bidi w:val="0"/>
        <w:adjustRightInd/>
        <w:snapToGrid/>
        <w:spacing w:line="340" w:lineRule="exact"/>
        <w:ind w:firstLine="44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投标报价是履行合同的最终价格，应包括完成“第三章招标需求”中提出的所有需求的费用</w:t>
      </w:r>
      <w:r>
        <w:rPr>
          <w:rFonts w:hint="eastAsia" w:ascii="宋体" w:hAnsi="宋体" w:eastAsia="宋体" w:cs="宋体"/>
          <w:color w:val="auto"/>
          <w:szCs w:val="21"/>
          <w:highlight w:val="none"/>
          <w:lang w:val="en-US" w:eastAsia="zh-CN"/>
        </w:rPr>
        <w:t>及</w:t>
      </w:r>
      <w:r>
        <w:rPr>
          <w:rFonts w:hint="eastAsia" w:ascii="宋体" w:hAnsi="宋体" w:eastAsia="宋体" w:cs="宋体"/>
          <w:color w:val="auto"/>
          <w:szCs w:val="21"/>
          <w:highlight w:val="none"/>
        </w:rPr>
        <w:t>为完成本项目所需的人力成本（含人员工资、福利、</w:t>
      </w:r>
      <w:r>
        <w:rPr>
          <w:rFonts w:hint="eastAsia" w:ascii="宋体" w:hAnsi="宋体" w:eastAsia="宋体" w:cs="宋体"/>
          <w:color w:val="auto"/>
          <w:szCs w:val="21"/>
          <w:highlight w:val="none"/>
          <w:lang w:eastAsia="zh-CN"/>
        </w:rPr>
        <w:t>社保等各种保险）、交通、设备费、保</w:t>
      </w:r>
      <w:r>
        <w:rPr>
          <w:rFonts w:hint="eastAsia" w:ascii="宋体" w:hAnsi="宋体" w:eastAsia="宋体" w:cs="宋体"/>
          <w:color w:val="auto"/>
          <w:szCs w:val="21"/>
          <w:highlight w:val="none"/>
        </w:rPr>
        <w:t>险费、税费、</w:t>
      </w:r>
      <w:r>
        <w:rPr>
          <w:rFonts w:hint="eastAsia" w:ascii="宋体" w:hAnsi="宋体"/>
          <w:color w:val="auto"/>
          <w:szCs w:val="21"/>
          <w:highlight w:val="none"/>
        </w:rPr>
        <w:t>利润、</w:t>
      </w:r>
      <w:r>
        <w:rPr>
          <w:rFonts w:hint="eastAsia" w:ascii="宋体" w:hAnsi="宋体" w:eastAsia="宋体" w:cs="宋体"/>
          <w:color w:val="auto"/>
          <w:szCs w:val="21"/>
          <w:highlight w:val="none"/>
        </w:rPr>
        <w:t>培训费等一切可能发生的费用。</w:t>
      </w:r>
      <w:r>
        <w:rPr>
          <w:color w:val="auto"/>
          <w:szCs w:val="21"/>
          <w:highlight w:val="none"/>
        </w:rPr>
        <w:t>对于本文件中未列明，而</w:t>
      </w:r>
      <w:r>
        <w:rPr>
          <w:rFonts w:hint="eastAsia"/>
          <w:color w:val="auto"/>
          <w:szCs w:val="21"/>
          <w:highlight w:val="none"/>
          <w:lang w:val="en-US" w:eastAsia="zh-CN"/>
        </w:rPr>
        <w:t>投标人</w:t>
      </w:r>
      <w:r>
        <w:rPr>
          <w:color w:val="auto"/>
          <w:szCs w:val="21"/>
          <w:highlight w:val="none"/>
        </w:rPr>
        <w:t>认为必需的费用也需列入总报价。在合同实施时，</w:t>
      </w:r>
      <w:r>
        <w:rPr>
          <w:rFonts w:hint="eastAsia"/>
          <w:color w:val="auto"/>
          <w:szCs w:val="21"/>
          <w:highlight w:val="none"/>
          <w:lang w:val="en-US" w:eastAsia="zh-CN"/>
        </w:rPr>
        <w:t>招标人</w:t>
      </w:r>
      <w:r>
        <w:rPr>
          <w:color w:val="auto"/>
          <w:szCs w:val="21"/>
          <w:highlight w:val="none"/>
        </w:rPr>
        <w:t>将不予支付</w:t>
      </w:r>
      <w:r>
        <w:rPr>
          <w:rFonts w:hint="eastAsia"/>
          <w:color w:val="auto"/>
          <w:szCs w:val="21"/>
          <w:highlight w:val="none"/>
          <w:lang w:val="en-US" w:eastAsia="zh-CN"/>
        </w:rPr>
        <w:t>投标人</w:t>
      </w:r>
      <w:r>
        <w:rPr>
          <w:color w:val="auto"/>
          <w:szCs w:val="21"/>
          <w:highlight w:val="none"/>
        </w:rPr>
        <w:t>没有列入的项目费用，并认为此项目的费用已包括在投标总报价中。</w:t>
      </w:r>
    </w:p>
    <w:p w14:paraId="38E1273B">
      <w:pPr>
        <w:keepNext w:val="0"/>
        <w:keepLines w:val="0"/>
        <w:pageBreakBefore w:val="0"/>
        <w:widowControl w:val="0"/>
        <w:kinsoku/>
        <w:wordWrap/>
        <w:overflowPunct/>
        <w:topLinePunct w:val="0"/>
        <w:autoSpaceDE/>
        <w:autoSpaceDN/>
        <w:bidi w:val="0"/>
        <w:adjustRightInd/>
        <w:snapToGrid/>
        <w:spacing w:line="340" w:lineRule="exact"/>
        <w:ind w:firstLine="44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合同条款以双方认同并正式签署具体的合同为准</w:t>
      </w:r>
      <w:r>
        <w:rPr>
          <w:rFonts w:hint="eastAsia" w:ascii="宋体" w:hAnsi="宋体" w:eastAsia="宋体" w:cs="宋体"/>
          <w:color w:val="auto"/>
          <w:szCs w:val="21"/>
          <w:highlight w:val="none"/>
          <w:lang w:eastAsia="zh-CN"/>
        </w:rPr>
        <w:t>。</w:t>
      </w:r>
    </w:p>
    <w:p w14:paraId="09F6EBFE">
      <w:pPr>
        <w:spacing w:line="440" w:lineRule="exact"/>
        <w:rPr>
          <w:rFonts w:hint="eastAsia" w:ascii="宋体" w:hAnsi="宋体" w:eastAsia="宋体" w:cs="宋体"/>
          <w:color w:val="auto"/>
          <w:szCs w:val="21"/>
          <w:highlight w:val="none"/>
        </w:rPr>
      </w:pPr>
    </w:p>
    <w:p w14:paraId="244699AB">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投标人：（公章）</w:t>
      </w:r>
    </w:p>
    <w:p w14:paraId="34CE9DA3">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法定代表人或授权代表：（签字或盖章）  </w:t>
      </w:r>
    </w:p>
    <w:p w14:paraId="6E233313">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4A5F3BBA">
      <w:pPr>
        <w:pStyle w:val="10"/>
        <w:rPr>
          <w:rFonts w:hint="eastAsia" w:ascii="宋体" w:hAnsi="宋体" w:eastAsia="宋体" w:cs="宋体"/>
          <w:color w:val="auto"/>
          <w:szCs w:val="21"/>
          <w:highlight w:val="none"/>
        </w:rPr>
      </w:pPr>
    </w:p>
    <w:p w14:paraId="06E5736D">
      <w:pPr>
        <w:rPr>
          <w:rFonts w:hint="eastAsia" w:ascii="宋体" w:hAnsi="宋体" w:eastAsia="宋体" w:cs="宋体"/>
          <w:color w:val="auto"/>
          <w:szCs w:val="21"/>
          <w:highlight w:val="none"/>
        </w:rPr>
      </w:pPr>
    </w:p>
    <w:p w14:paraId="18DFD9E6">
      <w:pPr>
        <w:pStyle w:val="10"/>
        <w:rPr>
          <w:rFonts w:hint="eastAsia" w:ascii="宋体" w:hAnsi="宋体" w:eastAsia="宋体" w:cs="宋体"/>
          <w:color w:val="auto"/>
          <w:szCs w:val="21"/>
          <w:highlight w:val="none"/>
        </w:rPr>
      </w:pPr>
    </w:p>
    <w:p w14:paraId="43ECE564">
      <w:pPr>
        <w:rPr>
          <w:rFonts w:hint="eastAsia" w:ascii="宋体" w:hAnsi="宋体" w:eastAsia="宋体" w:cs="宋体"/>
          <w:color w:val="auto"/>
          <w:szCs w:val="21"/>
          <w:highlight w:val="none"/>
        </w:rPr>
      </w:pPr>
    </w:p>
    <w:p w14:paraId="2E22019A">
      <w:pPr>
        <w:pStyle w:val="10"/>
        <w:rPr>
          <w:rFonts w:hint="eastAsia" w:ascii="宋体" w:hAnsi="宋体" w:eastAsia="宋体" w:cs="宋体"/>
          <w:color w:val="auto"/>
          <w:szCs w:val="21"/>
          <w:highlight w:val="none"/>
        </w:rPr>
      </w:pPr>
    </w:p>
    <w:p w14:paraId="658807E5">
      <w:pPr>
        <w:rPr>
          <w:rFonts w:hint="eastAsia" w:ascii="宋体" w:hAnsi="宋体" w:eastAsia="宋体" w:cs="宋体"/>
          <w:color w:val="auto"/>
          <w:szCs w:val="21"/>
          <w:highlight w:val="none"/>
        </w:rPr>
      </w:pPr>
    </w:p>
    <w:p w14:paraId="4177FC45">
      <w:pPr>
        <w:pStyle w:val="10"/>
        <w:rPr>
          <w:rFonts w:hint="eastAsia" w:ascii="宋体" w:hAnsi="宋体" w:eastAsia="宋体" w:cs="宋体"/>
          <w:color w:val="auto"/>
          <w:szCs w:val="21"/>
          <w:highlight w:val="none"/>
        </w:rPr>
      </w:pPr>
    </w:p>
    <w:p w14:paraId="73C38EA0">
      <w:pPr>
        <w:rPr>
          <w:rFonts w:hint="eastAsia" w:ascii="宋体" w:hAnsi="宋体" w:eastAsia="宋体" w:cs="宋体"/>
          <w:color w:val="auto"/>
          <w:szCs w:val="21"/>
          <w:highlight w:val="none"/>
        </w:rPr>
      </w:pPr>
    </w:p>
    <w:p w14:paraId="6EEBA5A0">
      <w:pPr>
        <w:pStyle w:val="10"/>
        <w:rPr>
          <w:rFonts w:hint="eastAsia" w:ascii="宋体" w:hAnsi="宋体" w:eastAsia="宋体" w:cs="宋体"/>
          <w:color w:val="auto"/>
          <w:szCs w:val="21"/>
          <w:highlight w:val="none"/>
        </w:rPr>
      </w:pPr>
    </w:p>
    <w:p w14:paraId="0A5BC171">
      <w:pPr>
        <w:rPr>
          <w:rFonts w:hint="eastAsia"/>
        </w:rPr>
      </w:pPr>
    </w:p>
    <w:p w14:paraId="3F67E51C">
      <w:pPr>
        <w:pStyle w:val="14"/>
        <w:spacing w:line="460" w:lineRule="exact"/>
        <w:jc w:val="center"/>
        <w:rPr>
          <w:rFonts w:hint="eastAsia" w:ascii="宋体" w:hAnsi="宋体" w:eastAsia="宋体" w:cs="宋体"/>
          <w:b/>
          <w:color w:val="auto"/>
          <w:sz w:val="32"/>
          <w:szCs w:val="32"/>
          <w:highlight w:val="none"/>
        </w:rPr>
      </w:pPr>
      <w:r>
        <w:rPr>
          <w:rFonts w:hint="eastAsia" w:asciiTheme="minorEastAsia" w:hAnsiTheme="minorEastAsia" w:eastAsiaTheme="minorEastAsia" w:cstheme="minorEastAsia"/>
          <w:b/>
          <w:bCs/>
          <w:color w:val="000000" w:themeColor="text1"/>
          <w:sz w:val="28"/>
          <w:szCs w:val="28"/>
          <w:highlight w:val="none"/>
          <w:lang w:val="en-US" w:eastAsia="zh-CN"/>
          <w14:textFill>
            <w14:solidFill>
              <w14:schemeClr w14:val="tx1"/>
            </w14:solidFill>
          </w14:textFill>
        </w:rPr>
        <w:t>四、</w:t>
      </w:r>
      <w:bookmarkEnd w:id="134"/>
      <w:bookmarkEnd w:id="135"/>
      <w:r>
        <w:rPr>
          <w:rFonts w:hint="eastAsia" w:hAnsi="宋体" w:eastAsia="宋体" w:cs="宋体"/>
          <w:b/>
          <w:color w:val="auto"/>
          <w:sz w:val="32"/>
          <w:szCs w:val="32"/>
          <w:highlight w:val="none"/>
          <w:lang w:val="en-US" w:eastAsia="zh-CN"/>
        </w:rPr>
        <w:t>竞标</w:t>
      </w:r>
      <w:r>
        <w:rPr>
          <w:rFonts w:hint="eastAsia" w:ascii="宋体" w:hAnsi="宋体" w:eastAsia="宋体" w:cs="宋体"/>
          <w:b/>
          <w:color w:val="auto"/>
          <w:sz w:val="32"/>
          <w:szCs w:val="32"/>
          <w:highlight w:val="none"/>
        </w:rPr>
        <w:t>人基本情况登记表</w:t>
      </w:r>
    </w:p>
    <w:tbl>
      <w:tblPr>
        <w:tblStyle w:val="28"/>
        <w:tblW w:w="98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9"/>
        <w:gridCol w:w="895"/>
        <w:gridCol w:w="1121"/>
        <w:gridCol w:w="582"/>
        <w:gridCol w:w="693"/>
        <w:gridCol w:w="345"/>
        <w:gridCol w:w="1370"/>
        <w:gridCol w:w="66"/>
        <w:gridCol w:w="216"/>
        <w:gridCol w:w="574"/>
        <w:gridCol w:w="2118"/>
      </w:tblGrid>
      <w:tr w14:paraId="1F50A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879" w:type="dxa"/>
            <w:vAlign w:val="center"/>
          </w:tcPr>
          <w:p w14:paraId="5D71B3F3">
            <w:pPr>
              <w:jc w:val="center"/>
              <w:rPr>
                <w:rFonts w:hint="eastAsia" w:ascii="宋体" w:hAnsi="宋体" w:eastAsia="宋体" w:cs="宋体"/>
                <w:color w:val="auto"/>
                <w:szCs w:val="18"/>
                <w:highlight w:val="none"/>
              </w:rPr>
            </w:pPr>
            <w:r>
              <w:rPr>
                <w:rFonts w:hint="eastAsia" w:ascii="宋体" w:hAnsi="宋体" w:eastAsia="宋体" w:cs="宋体"/>
                <w:color w:val="auto"/>
                <w:szCs w:val="18"/>
                <w:highlight w:val="none"/>
                <w:lang w:val="en-US" w:eastAsia="zh-CN"/>
              </w:rPr>
              <w:t>竞标</w:t>
            </w:r>
            <w:r>
              <w:rPr>
                <w:rFonts w:hint="eastAsia" w:ascii="宋体" w:hAnsi="宋体" w:eastAsia="宋体" w:cs="宋体"/>
                <w:color w:val="auto"/>
                <w:szCs w:val="18"/>
                <w:highlight w:val="none"/>
              </w:rPr>
              <w:t>人名称</w:t>
            </w:r>
          </w:p>
        </w:tc>
        <w:tc>
          <w:tcPr>
            <w:tcW w:w="7980" w:type="dxa"/>
            <w:gridSpan w:val="10"/>
            <w:vAlign w:val="center"/>
          </w:tcPr>
          <w:p w14:paraId="6C0039FD">
            <w:pPr>
              <w:jc w:val="center"/>
              <w:rPr>
                <w:rFonts w:hint="eastAsia" w:ascii="宋体" w:hAnsi="宋体" w:eastAsia="宋体" w:cs="宋体"/>
                <w:color w:val="auto"/>
                <w:szCs w:val="18"/>
                <w:highlight w:val="none"/>
              </w:rPr>
            </w:pPr>
          </w:p>
        </w:tc>
      </w:tr>
      <w:tr w14:paraId="67EEF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879" w:type="dxa"/>
            <w:vAlign w:val="center"/>
          </w:tcPr>
          <w:p w14:paraId="6D559E3D">
            <w:pPr>
              <w:jc w:val="center"/>
              <w:rPr>
                <w:rFonts w:hint="eastAsia" w:ascii="宋体" w:hAnsi="宋体" w:eastAsia="宋体" w:cs="宋体"/>
                <w:color w:val="auto"/>
                <w:szCs w:val="18"/>
                <w:highlight w:val="none"/>
              </w:rPr>
            </w:pPr>
            <w:r>
              <w:rPr>
                <w:rFonts w:hint="eastAsia" w:ascii="宋体" w:hAnsi="宋体" w:eastAsia="宋体" w:cs="宋体"/>
                <w:color w:val="auto"/>
                <w:szCs w:val="18"/>
                <w:highlight w:val="none"/>
              </w:rPr>
              <w:t>注册地址</w:t>
            </w:r>
          </w:p>
        </w:tc>
        <w:tc>
          <w:tcPr>
            <w:tcW w:w="3636" w:type="dxa"/>
            <w:gridSpan w:val="5"/>
            <w:vAlign w:val="center"/>
          </w:tcPr>
          <w:p w14:paraId="2A71CFE2">
            <w:pPr>
              <w:jc w:val="center"/>
              <w:rPr>
                <w:rFonts w:hint="eastAsia" w:ascii="宋体" w:hAnsi="宋体" w:eastAsia="宋体" w:cs="宋体"/>
                <w:color w:val="auto"/>
                <w:szCs w:val="18"/>
                <w:highlight w:val="none"/>
              </w:rPr>
            </w:pPr>
          </w:p>
        </w:tc>
        <w:tc>
          <w:tcPr>
            <w:tcW w:w="1370" w:type="dxa"/>
            <w:vAlign w:val="center"/>
          </w:tcPr>
          <w:p w14:paraId="170E92F5">
            <w:pPr>
              <w:jc w:val="center"/>
              <w:rPr>
                <w:rFonts w:hint="eastAsia" w:ascii="宋体" w:hAnsi="宋体" w:eastAsia="宋体" w:cs="宋体"/>
                <w:color w:val="auto"/>
                <w:szCs w:val="18"/>
                <w:highlight w:val="none"/>
              </w:rPr>
            </w:pPr>
            <w:r>
              <w:rPr>
                <w:rFonts w:hint="eastAsia" w:ascii="宋体" w:hAnsi="宋体" w:eastAsia="宋体" w:cs="宋体"/>
                <w:color w:val="auto"/>
                <w:szCs w:val="18"/>
                <w:highlight w:val="none"/>
              </w:rPr>
              <w:t>邮政编码</w:t>
            </w:r>
          </w:p>
        </w:tc>
        <w:tc>
          <w:tcPr>
            <w:tcW w:w="2974" w:type="dxa"/>
            <w:gridSpan w:val="4"/>
            <w:vAlign w:val="center"/>
          </w:tcPr>
          <w:p w14:paraId="35497608">
            <w:pPr>
              <w:jc w:val="center"/>
              <w:rPr>
                <w:rFonts w:hint="eastAsia" w:ascii="宋体" w:hAnsi="宋体" w:eastAsia="宋体" w:cs="宋体"/>
                <w:color w:val="auto"/>
                <w:szCs w:val="18"/>
                <w:highlight w:val="none"/>
              </w:rPr>
            </w:pPr>
          </w:p>
        </w:tc>
      </w:tr>
      <w:tr w14:paraId="029EB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879" w:type="dxa"/>
            <w:vMerge w:val="restart"/>
            <w:vAlign w:val="center"/>
          </w:tcPr>
          <w:p w14:paraId="380AE5C8">
            <w:pPr>
              <w:jc w:val="center"/>
              <w:rPr>
                <w:rFonts w:hint="eastAsia" w:ascii="宋体" w:hAnsi="宋体" w:eastAsia="宋体" w:cs="宋体"/>
                <w:color w:val="auto"/>
                <w:szCs w:val="18"/>
                <w:highlight w:val="none"/>
              </w:rPr>
            </w:pPr>
            <w:r>
              <w:rPr>
                <w:rFonts w:hint="eastAsia" w:ascii="宋体" w:hAnsi="宋体" w:eastAsia="宋体" w:cs="宋体"/>
                <w:color w:val="auto"/>
                <w:szCs w:val="18"/>
                <w:highlight w:val="none"/>
              </w:rPr>
              <w:t>联系方式</w:t>
            </w:r>
          </w:p>
        </w:tc>
        <w:tc>
          <w:tcPr>
            <w:tcW w:w="895" w:type="dxa"/>
            <w:vAlign w:val="center"/>
          </w:tcPr>
          <w:p w14:paraId="2ACB920B">
            <w:pPr>
              <w:jc w:val="center"/>
              <w:rPr>
                <w:rFonts w:hint="eastAsia" w:ascii="宋体" w:hAnsi="宋体" w:eastAsia="宋体" w:cs="宋体"/>
                <w:color w:val="auto"/>
                <w:szCs w:val="18"/>
                <w:highlight w:val="none"/>
              </w:rPr>
            </w:pPr>
            <w:r>
              <w:rPr>
                <w:rFonts w:hint="eastAsia" w:ascii="宋体" w:hAnsi="宋体" w:eastAsia="宋体" w:cs="宋体"/>
                <w:color w:val="auto"/>
                <w:szCs w:val="18"/>
                <w:highlight w:val="none"/>
              </w:rPr>
              <w:t>联系人</w:t>
            </w:r>
          </w:p>
        </w:tc>
        <w:tc>
          <w:tcPr>
            <w:tcW w:w="2741" w:type="dxa"/>
            <w:gridSpan w:val="4"/>
            <w:vAlign w:val="center"/>
          </w:tcPr>
          <w:p w14:paraId="3A218E2A">
            <w:pPr>
              <w:jc w:val="center"/>
              <w:rPr>
                <w:rFonts w:hint="eastAsia" w:ascii="宋体" w:hAnsi="宋体" w:eastAsia="宋体" w:cs="宋体"/>
                <w:color w:val="auto"/>
                <w:szCs w:val="18"/>
                <w:highlight w:val="none"/>
              </w:rPr>
            </w:pPr>
          </w:p>
        </w:tc>
        <w:tc>
          <w:tcPr>
            <w:tcW w:w="1370" w:type="dxa"/>
            <w:vAlign w:val="center"/>
          </w:tcPr>
          <w:p w14:paraId="003C2371">
            <w:pPr>
              <w:jc w:val="center"/>
              <w:rPr>
                <w:rFonts w:hint="eastAsia" w:ascii="宋体" w:hAnsi="宋体" w:eastAsia="宋体" w:cs="宋体"/>
                <w:color w:val="auto"/>
                <w:szCs w:val="18"/>
                <w:highlight w:val="none"/>
              </w:rPr>
            </w:pPr>
            <w:r>
              <w:rPr>
                <w:rFonts w:hint="eastAsia" w:ascii="宋体" w:hAnsi="宋体" w:eastAsia="宋体" w:cs="宋体"/>
                <w:color w:val="auto"/>
                <w:szCs w:val="18"/>
                <w:highlight w:val="none"/>
              </w:rPr>
              <w:t>电  话</w:t>
            </w:r>
          </w:p>
        </w:tc>
        <w:tc>
          <w:tcPr>
            <w:tcW w:w="2974" w:type="dxa"/>
            <w:gridSpan w:val="4"/>
            <w:vAlign w:val="center"/>
          </w:tcPr>
          <w:p w14:paraId="3B564F43">
            <w:pPr>
              <w:jc w:val="center"/>
              <w:rPr>
                <w:rFonts w:hint="eastAsia" w:ascii="宋体" w:hAnsi="宋体" w:eastAsia="宋体" w:cs="宋体"/>
                <w:color w:val="auto"/>
                <w:szCs w:val="18"/>
                <w:highlight w:val="none"/>
              </w:rPr>
            </w:pPr>
          </w:p>
        </w:tc>
      </w:tr>
      <w:tr w14:paraId="47B00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879" w:type="dxa"/>
            <w:vMerge w:val="continue"/>
            <w:vAlign w:val="center"/>
          </w:tcPr>
          <w:p w14:paraId="22869F73">
            <w:pPr>
              <w:jc w:val="center"/>
              <w:rPr>
                <w:rFonts w:hint="eastAsia" w:ascii="宋体" w:hAnsi="宋体" w:eastAsia="宋体" w:cs="宋体"/>
                <w:color w:val="auto"/>
                <w:szCs w:val="18"/>
                <w:highlight w:val="none"/>
              </w:rPr>
            </w:pPr>
          </w:p>
        </w:tc>
        <w:tc>
          <w:tcPr>
            <w:tcW w:w="895" w:type="dxa"/>
            <w:vAlign w:val="center"/>
          </w:tcPr>
          <w:p w14:paraId="0E9FEDD9">
            <w:pPr>
              <w:jc w:val="center"/>
              <w:rPr>
                <w:rFonts w:hint="eastAsia" w:ascii="宋体" w:hAnsi="宋体" w:eastAsia="宋体" w:cs="宋体"/>
                <w:color w:val="auto"/>
                <w:szCs w:val="18"/>
                <w:highlight w:val="none"/>
              </w:rPr>
            </w:pPr>
            <w:r>
              <w:rPr>
                <w:rFonts w:hint="eastAsia" w:ascii="宋体" w:hAnsi="宋体" w:eastAsia="宋体" w:cs="宋体"/>
                <w:color w:val="auto"/>
                <w:szCs w:val="18"/>
                <w:highlight w:val="none"/>
              </w:rPr>
              <w:t>传  真</w:t>
            </w:r>
          </w:p>
        </w:tc>
        <w:tc>
          <w:tcPr>
            <w:tcW w:w="2741" w:type="dxa"/>
            <w:gridSpan w:val="4"/>
            <w:vAlign w:val="center"/>
          </w:tcPr>
          <w:p w14:paraId="1A6139C9">
            <w:pPr>
              <w:jc w:val="center"/>
              <w:rPr>
                <w:rFonts w:hint="eastAsia" w:ascii="宋体" w:hAnsi="宋体" w:eastAsia="宋体" w:cs="宋体"/>
                <w:color w:val="auto"/>
                <w:szCs w:val="18"/>
                <w:highlight w:val="none"/>
              </w:rPr>
            </w:pPr>
          </w:p>
        </w:tc>
        <w:tc>
          <w:tcPr>
            <w:tcW w:w="1370" w:type="dxa"/>
            <w:vAlign w:val="center"/>
          </w:tcPr>
          <w:p w14:paraId="0546BF39">
            <w:pPr>
              <w:jc w:val="center"/>
              <w:rPr>
                <w:rFonts w:hint="eastAsia" w:ascii="宋体" w:hAnsi="宋体" w:eastAsia="宋体" w:cs="宋体"/>
                <w:color w:val="auto"/>
                <w:szCs w:val="18"/>
                <w:highlight w:val="none"/>
              </w:rPr>
            </w:pPr>
            <w:r>
              <w:rPr>
                <w:rFonts w:hint="eastAsia" w:ascii="宋体" w:hAnsi="宋体" w:eastAsia="宋体" w:cs="宋体"/>
                <w:color w:val="auto"/>
                <w:szCs w:val="18"/>
                <w:highlight w:val="none"/>
              </w:rPr>
              <w:t>网  址</w:t>
            </w:r>
          </w:p>
        </w:tc>
        <w:tc>
          <w:tcPr>
            <w:tcW w:w="2974" w:type="dxa"/>
            <w:gridSpan w:val="4"/>
            <w:vAlign w:val="center"/>
          </w:tcPr>
          <w:p w14:paraId="5EAE9646">
            <w:pPr>
              <w:jc w:val="center"/>
              <w:rPr>
                <w:rFonts w:hint="eastAsia" w:ascii="宋体" w:hAnsi="宋体" w:eastAsia="宋体" w:cs="宋体"/>
                <w:color w:val="auto"/>
                <w:szCs w:val="18"/>
                <w:highlight w:val="none"/>
              </w:rPr>
            </w:pPr>
          </w:p>
        </w:tc>
      </w:tr>
      <w:tr w14:paraId="231D5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879" w:type="dxa"/>
            <w:vAlign w:val="center"/>
          </w:tcPr>
          <w:p w14:paraId="1B70A00B">
            <w:pPr>
              <w:jc w:val="center"/>
              <w:rPr>
                <w:rFonts w:hint="eastAsia" w:ascii="宋体" w:hAnsi="宋体" w:eastAsia="宋体" w:cs="宋体"/>
                <w:color w:val="auto"/>
                <w:szCs w:val="18"/>
                <w:highlight w:val="none"/>
              </w:rPr>
            </w:pPr>
            <w:r>
              <w:rPr>
                <w:rFonts w:hint="eastAsia" w:ascii="宋体" w:hAnsi="宋体" w:eastAsia="宋体" w:cs="宋体"/>
                <w:color w:val="auto"/>
                <w:szCs w:val="18"/>
                <w:highlight w:val="none"/>
              </w:rPr>
              <w:t>统一社会信用代码</w:t>
            </w:r>
          </w:p>
        </w:tc>
        <w:tc>
          <w:tcPr>
            <w:tcW w:w="7980" w:type="dxa"/>
            <w:gridSpan w:val="10"/>
            <w:vAlign w:val="center"/>
          </w:tcPr>
          <w:p w14:paraId="4878DC8A">
            <w:pPr>
              <w:jc w:val="center"/>
              <w:rPr>
                <w:rFonts w:hint="eastAsia" w:ascii="宋体" w:hAnsi="宋体" w:eastAsia="宋体" w:cs="宋体"/>
                <w:color w:val="auto"/>
                <w:szCs w:val="18"/>
                <w:highlight w:val="none"/>
              </w:rPr>
            </w:pPr>
          </w:p>
        </w:tc>
      </w:tr>
      <w:tr w14:paraId="36E33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79" w:type="dxa"/>
            <w:vAlign w:val="center"/>
          </w:tcPr>
          <w:p w14:paraId="25A4960D">
            <w:pPr>
              <w:jc w:val="center"/>
              <w:rPr>
                <w:rFonts w:hint="eastAsia" w:ascii="宋体" w:hAnsi="宋体" w:eastAsia="宋体" w:cs="宋体"/>
                <w:color w:val="auto"/>
                <w:szCs w:val="18"/>
                <w:highlight w:val="none"/>
              </w:rPr>
            </w:pPr>
            <w:r>
              <w:rPr>
                <w:rFonts w:hint="eastAsia" w:ascii="宋体" w:hAnsi="宋体" w:eastAsia="宋体" w:cs="宋体"/>
                <w:color w:val="auto"/>
                <w:szCs w:val="18"/>
                <w:highlight w:val="none"/>
              </w:rPr>
              <w:t>法定代表人</w:t>
            </w:r>
          </w:p>
        </w:tc>
        <w:tc>
          <w:tcPr>
            <w:tcW w:w="895" w:type="dxa"/>
            <w:vAlign w:val="center"/>
          </w:tcPr>
          <w:p w14:paraId="175F4701">
            <w:pPr>
              <w:jc w:val="center"/>
              <w:rPr>
                <w:rFonts w:hint="eastAsia" w:ascii="宋体" w:hAnsi="宋体" w:eastAsia="宋体" w:cs="宋体"/>
                <w:color w:val="auto"/>
                <w:szCs w:val="18"/>
                <w:highlight w:val="none"/>
              </w:rPr>
            </w:pPr>
            <w:r>
              <w:rPr>
                <w:rFonts w:hint="eastAsia" w:ascii="宋体" w:hAnsi="宋体" w:eastAsia="宋体" w:cs="宋体"/>
                <w:color w:val="auto"/>
                <w:szCs w:val="18"/>
                <w:highlight w:val="none"/>
              </w:rPr>
              <w:t>姓名</w:t>
            </w:r>
          </w:p>
        </w:tc>
        <w:tc>
          <w:tcPr>
            <w:tcW w:w="1121" w:type="dxa"/>
            <w:vAlign w:val="center"/>
          </w:tcPr>
          <w:p w14:paraId="61EFCC29">
            <w:pPr>
              <w:jc w:val="center"/>
              <w:rPr>
                <w:rFonts w:hint="eastAsia" w:ascii="宋体" w:hAnsi="宋体" w:eastAsia="宋体" w:cs="宋体"/>
                <w:color w:val="auto"/>
                <w:szCs w:val="18"/>
                <w:highlight w:val="none"/>
              </w:rPr>
            </w:pPr>
          </w:p>
        </w:tc>
        <w:tc>
          <w:tcPr>
            <w:tcW w:w="1275" w:type="dxa"/>
            <w:gridSpan w:val="2"/>
            <w:vAlign w:val="center"/>
          </w:tcPr>
          <w:p w14:paraId="3D88D5CE">
            <w:pPr>
              <w:jc w:val="center"/>
              <w:rPr>
                <w:rFonts w:hint="eastAsia" w:ascii="宋体" w:hAnsi="宋体" w:eastAsia="宋体" w:cs="宋体"/>
                <w:color w:val="auto"/>
                <w:szCs w:val="18"/>
                <w:highlight w:val="none"/>
              </w:rPr>
            </w:pPr>
            <w:r>
              <w:rPr>
                <w:rFonts w:hint="eastAsia" w:ascii="宋体" w:hAnsi="宋体" w:eastAsia="宋体" w:cs="宋体"/>
                <w:color w:val="auto"/>
                <w:szCs w:val="18"/>
                <w:highlight w:val="none"/>
              </w:rPr>
              <w:t>技术职称</w:t>
            </w:r>
          </w:p>
        </w:tc>
        <w:tc>
          <w:tcPr>
            <w:tcW w:w="1781" w:type="dxa"/>
            <w:gridSpan w:val="3"/>
            <w:vAlign w:val="center"/>
          </w:tcPr>
          <w:p w14:paraId="157D46F7">
            <w:pPr>
              <w:jc w:val="center"/>
              <w:rPr>
                <w:rFonts w:hint="eastAsia" w:ascii="宋体" w:hAnsi="宋体" w:eastAsia="宋体" w:cs="宋体"/>
                <w:color w:val="auto"/>
                <w:szCs w:val="18"/>
                <w:highlight w:val="none"/>
              </w:rPr>
            </w:pPr>
          </w:p>
        </w:tc>
        <w:tc>
          <w:tcPr>
            <w:tcW w:w="790" w:type="dxa"/>
            <w:gridSpan w:val="2"/>
            <w:vAlign w:val="center"/>
          </w:tcPr>
          <w:p w14:paraId="0029C9D1">
            <w:pPr>
              <w:jc w:val="center"/>
              <w:rPr>
                <w:rFonts w:hint="eastAsia" w:ascii="宋体" w:hAnsi="宋体" w:eastAsia="宋体" w:cs="宋体"/>
                <w:color w:val="auto"/>
                <w:szCs w:val="18"/>
                <w:highlight w:val="none"/>
              </w:rPr>
            </w:pPr>
            <w:r>
              <w:rPr>
                <w:rFonts w:hint="eastAsia" w:ascii="宋体" w:hAnsi="宋体" w:eastAsia="宋体" w:cs="宋体"/>
                <w:color w:val="auto"/>
                <w:szCs w:val="18"/>
                <w:highlight w:val="none"/>
              </w:rPr>
              <w:t>电话</w:t>
            </w:r>
          </w:p>
        </w:tc>
        <w:tc>
          <w:tcPr>
            <w:tcW w:w="2118" w:type="dxa"/>
            <w:vAlign w:val="center"/>
          </w:tcPr>
          <w:p w14:paraId="57DC15D8">
            <w:pPr>
              <w:jc w:val="center"/>
              <w:rPr>
                <w:rFonts w:hint="eastAsia" w:ascii="宋体" w:hAnsi="宋体" w:eastAsia="宋体" w:cs="宋体"/>
                <w:color w:val="auto"/>
                <w:szCs w:val="18"/>
                <w:highlight w:val="none"/>
              </w:rPr>
            </w:pPr>
          </w:p>
        </w:tc>
      </w:tr>
      <w:tr w14:paraId="34667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879" w:type="dxa"/>
            <w:vAlign w:val="center"/>
          </w:tcPr>
          <w:p w14:paraId="61DA2B02">
            <w:pPr>
              <w:jc w:val="center"/>
              <w:rPr>
                <w:rFonts w:hint="eastAsia" w:ascii="宋体" w:hAnsi="宋体" w:eastAsia="宋体" w:cs="宋体"/>
                <w:color w:val="auto"/>
                <w:szCs w:val="18"/>
                <w:highlight w:val="none"/>
              </w:rPr>
            </w:pPr>
            <w:r>
              <w:rPr>
                <w:rFonts w:hint="eastAsia" w:ascii="宋体" w:hAnsi="宋体" w:eastAsia="宋体" w:cs="宋体"/>
                <w:color w:val="auto"/>
                <w:szCs w:val="18"/>
                <w:highlight w:val="none"/>
              </w:rPr>
              <w:t>成立时间</w:t>
            </w:r>
          </w:p>
        </w:tc>
        <w:tc>
          <w:tcPr>
            <w:tcW w:w="2016" w:type="dxa"/>
            <w:gridSpan w:val="2"/>
            <w:vAlign w:val="center"/>
          </w:tcPr>
          <w:p w14:paraId="0894187C">
            <w:pPr>
              <w:jc w:val="center"/>
              <w:rPr>
                <w:rFonts w:hint="eastAsia" w:ascii="宋体" w:hAnsi="宋体" w:eastAsia="宋体" w:cs="宋体"/>
                <w:color w:val="auto"/>
                <w:szCs w:val="18"/>
                <w:highlight w:val="none"/>
              </w:rPr>
            </w:pPr>
          </w:p>
        </w:tc>
        <w:tc>
          <w:tcPr>
            <w:tcW w:w="5964" w:type="dxa"/>
            <w:gridSpan w:val="8"/>
            <w:vAlign w:val="center"/>
          </w:tcPr>
          <w:p w14:paraId="6671A780">
            <w:pPr>
              <w:jc w:val="center"/>
              <w:rPr>
                <w:rFonts w:hint="eastAsia" w:ascii="宋体" w:hAnsi="宋体" w:eastAsia="宋体" w:cs="宋体"/>
                <w:color w:val="auto"/>
                <w:szCs w:val="18"/>
                <w:highlight w:val="none"/>
              </w:rPr>
            </w:pPr>
            <w:r>
              <w:rPr>
                <w:rFonts w:hint="eastAsia" w:ascii="宋体" w:hAnsi="宋体" w:eastAsia="宋体" w:cs="宋体"/>
                <w:color w:val="auto"/>
                <w:szCs w:val="18"/>
                <w:highlight w:val="none"/>
              </w:rPr>
              <w:t>员工总人数：</w:t>
            </w:r>
          </w:p>
        </w:tc>
      </w:tr>
      <w:tr w14:paraId="606DE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879" w:type="dxa"/>
            <w:vAlign w:val="center"/>
          </w:tcPr>
          <w:p w14:paraId="69B5AC15">
            <w:pPr>
              <w:jc w:val="center"/>
              <w:rPr>
                <w:rFonts w:hint="eastAsia" w:ascii="宋体" w:hAnsi="宋体" w:eastAsia="宋体" w:cs="宋体"/>
                <w:color w:val="auto"/>
                <w:szCs w:val="18"/>
                <w:highlight w:val="none"/>
              </w:rPr>
            </w:pPr>
            <w:r>
              <w:rPr>
                <w:rFonts w:hint="eastAsia" w:ascii="宋体" w:hAnsi="宋体" w:eastAsia="宋体" w:cs="宋体"/>
                <w:color w:val="auto"/>
                <w:szCs w:val="18"/>
                <w:highlight w:val="none"/>
              </w:rPr>
              <w:t>注册资金</w:t>
            </w:r>
          </w:p>
        </w:tc>
        <w:tc>
          <w:tcPr>
            <w:tcW w:w="2016" w:type="dxa"/>
            <w:gridSpan w:val="2"/>
            <w:vAlign w:val="center"/>
          </w:tcPr>
          <w:p w14:paraId="098CB423">
            <w:pPr>
              <w:jc w:val="center"/>
              <w:rPr>
                <w:rFonts w:hint="eastAsia" w:ascii="宋体" w:hAnsi="宋体" w:eastAsia="宋体" w:cs="宋体"/>
                <w:color w:val="auto"/>
                <w:szCs w:val="18"/>
                <w:highlight w:val="none"/>
              </w:rPr>
            </w:pPr>
          </w:p>
        </w:tc>
        <w:tc>
          <w:tcPr>
            <w:tcW w:w="1275" w:type="dxa"/>
            <w:gridSpan w:val="2"/>
            <w:vMerge w:val="restart"/>
            <w:vAlign w:val="center"/>
          </w:tcPr>
          <w:p w14:paraId="698B7363">
            <w:pPr>
              <w:jc w:val="center"/>
              <w:rPr>
                <w:rFonts w:hint="eastAsia" w:ascii="宋体" w:hAnsi="宋体" w:eastAsia="宋体" w:cs="宋体"/>
                <w:color w:val="auto"/>
                <w:szCs w:val="18"/>
                <w:highlight w:val="none"/>
              </w:rPr>
            </w:pPr>
            <w:r>
              <w:rPr>
                <w:rFonts w:hint="eastAsia" w:ascii="宋体" w:hAnsi="宋体" w:eastAsia="宋体" w:cs="宋体"/>
                <w:color w:val="auto"/>
                <w:szCs w:val="18"/>
                <w:highlight w:val="none"/>
              </w:rPr>
              <w:t>其中</w:t>
            </w:r>
          </w:p>
        </w:tc>
        <w:tc>
          <w:tcPr>
            <w:tcW w:w="1781" w:type="dxa"/>
            <w:gridSpan w:val="3"/>
            <w:vAlign w:val="center"/>
          </w:tcPr>
          <w:p w14:paraId="28EF346B">
            <w:pPr>
              <w:jc w:val="center"/>
              <w:rPr>
                <w:rFonts w:hint="eastAsia" w:ascii="宋体" w:hAnsi="宋体" w:eastAsia="宋体" w:cs="宋体"/>
                <w:color w:val="auto"/>
                <w:szCs w:val="18"/>
                <w:highlight w:val="none"/>
              </w:rPr>
            </w:pPr>
            <w:r>
              <w:rPr>
                <w:rFonts w:hint="eastAsia" w:ascii="宋体" w:hAnsi="宋体" w:eastAsia="宋体" w:cs="宋体"/>
                <w:color w:val="auto"/>
                <w:szCs w:val="18"/>
                <w:highlight w:val="none"/>
              </w:rPr>
              <w:t>高级职称人员</w:t>
            </w:r>
          </w:p>
        </w:tc>
        <w:tc>
          <w:tcPr>
            <w:tcW w:w="2908" w:type="dxa"/>
            <w:gridSpan w:val="3"/>
            <w:vAlign w:val="center"/>
          </w:tcPr>
          <w:p w14:paraId="384E68AB">
            <w:pPr>
              <w:jc w:val="center"/>
              <w:rPr>
                <w:rFonts w:hint="eastAsia" w:ascii="宋体" w:hAnsi="宋体" w:eastAsia="宋体" w:cs="宋体"/>
                <w:color w:val="auto"/>
                <w:szCs w:val="18"/>
                <w:highlight w:val="none"/>
              </w:rPr>
            </w:pPr>
          </w:p>
        </w:tc>
      </w:tr>
      <w:tr w14:paraId="0014F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879" w:type="dxa"/>
            <w:vAlign w:val="center"/>
          </w:tcPr>
          <w:p w14:paraId="61185FBE">
            <w:pPr>
              <w:jc w:val="center"/>
              <w:rPr>
                <w:rFonts w:hint="eastAsia" w:ascii="宋体" w:hAnsi="宋体" w:eastAsia="宋体" w:cs="宋体"/>
                <w:color w:val="auto"/>
                <w:szCs w:val="18"/>
                <w:highlight w:val="none"/>
              </w:rPr>
            </w:pPr>
            <w:r>
              <w:rPr>
                <w:rFonts w:hint="eastAsia" w:ascii="宋体" w:hAnsi="宋体" w:eastAsia="宋体" w:cs="宋体"/>
                <w:color w:val="auto"/>
                <w:szCs w:val="18"/>
                <w:highlight w:val="none"/>
              </w:rPr>
              <w:t>帐户开户银行</w:t>
            </w:r>
          </w:p>
        </w:tc>
        <w:tc>
          <w:tcPr>
            <w:tcW w:w="2016" w:type="dxa"/>
            <w:gridSpan w:val="2"/>
            <w:vAlign w:val="center"/>
          </w:tcPr>
          <w:p w14:paraId="66457C7E">
            <w:pPr>
              <w:jc w:val="center"/>
              <w:rPr>
                <w:rFonts w:hint="eastAsia" w:ascii="宋体" w:hAnsi="宋体" w:eastAsia="宋体" w:cs="宋体"/>
                <w:color w:val="auto"/>
                <w:szCs w:val="18"/>
                <w:highlight w:val="none"/>
              </w:rPr>
            </w:pPr>
          </w:p>
        </w:tc>
        <w:tc>
          <w:tcPr>
            <w:tcW w:w="1275" w:type="dxa"/>
            <w:gridSpan w:val="2"/>
            <w:vMerge w:val="continue"/>
            <w:vAlign w:val="center"/>
          </w:tcPr>
          <w:p w14:paraId="3366AD81">
            <w:pPr>
              <w:jc w:val="center"/>
              <w:rPr>
                <w:rFonts w:hint="eastAsia" w:ascii="宋体" w:hAnsi="宋体" w:eastAsia="宋体" w:cs="宋体"/>
                <w:color w:val="auto"/>
                <w:szCs w:val="18"/>
                <w:highlight w:val="none"/>
              </w:rPr>
            </w:pPr>
          </w:p>
        </w:tc>
        <w:tc>
          <w:tcPr>
            <w:tcW w:w="1781" w:type="dxa"/>
            <w:gridSpan w:val="3"/>
            <w:vAlign w:val="center"/>
          </w:tcPr>
          <w:p w14:paraId="305F0AAE">
            <w:pPr>
              <w:jc w:val="center"/>
              <w:rPr>
                <w:rFonts w:hint="eastAsia" w:ascii="宋体" w:hAnsi="宋体" w:eastAsia="宋体" w:cs="宋体"/>
                <w:color w:val="auto"/>
                <w:szCs w:val="18"/>
                <w:highlight w:val="none"/>
              </w:rPr>
            </w:pPr>
            <w:r>
              <w:rPr>
                <w:rFonts w:hint="eastAsia" w:ascii="宋体" w:hAnsi="宋体" w:eastAsia="宋体" w:cs="宋体"/>
                <w:color w:val="auto"/>
                <w:szCs w:val="18"/>
                <w:highlight w:val="none"/>
              </w:rPr>
              <w:t>中级职称人员</w:t>
            </w:r>
          </w:p>
        </w:tc>
        <w:tc>
          <w:tcPr>
            <w:tcW w:w="2908" w:type="dxa"/>
            <w:gridSpan w:val="3"/>
            <w:vAlign w:val="center"/>
          </w:tcPr>
          <w:p w14:paraId="081C6471">
            <w:pPr>
              <w:jc w:val="center"/>
              <w:rPr>
                <w:rFonts w:hint="eastAsia" w:ascii="宋体" w:hAnsi="宋体" w:eastAsia="宋体" w:cs="宋体"/>
                <w:color w:val="auto"/>
                <w:szCs w:val="18"/>
                <w:highlight w:val="none"/>
              </w:rPr>
            </w:pPr>
          </w:p>
        </w:tc>
      </w:tr>
      <w:tr w14:paraId="49C84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879" w:type="dxa"/>
            <w:vAlign w:val="center"/>
          </w:tcPr>
          <w:p w14:paraId="226DA3BE">
            <w:pPr>
              <w:jc w:val="center"/>
              <w:rPr>
                <w:rFonts w:hint="eastAsia" w:ascii="宋体" w:hAnsi="宋体" w:eastAsia="宋体" w:cs="宋体"/>
                <w:color w:val="auto"/>
                <w:szCs w:val="18"/>
                <w:highlight w:val="none"/>
              </w:rPr>
            </w:pPr>
            <w:r>
              <w:rPr>
                <w:rFonts w:hint="eastAsia" w:ascii="宋体" w:hAnsi="宋体" w:eastAsia="宋体" w:cs="宋体"/>
                <w:color w:val="auto"/>
                <w:szCs w:val="18"/>
                <w:highlight w:val="none"/>
              </w:rPr>
              <w:t>账号</w:t>
            </w:r>
          </w:p>
        </w:tc>
        <w:tc>
          <w:tcPr>
            <w:tcW w:w="2016" w:type="dxa"/>
            <w:gridSpan w:val="2"/>
            <w:vAlign w:val="center"/>
          </w:tcPr>
          <w:p w14:paraId="483A7362">
            <w:pPr>
              <w:jc w:val="center"/>
              <w:rPr>
                <w:rFonts w:hint="eastAsia" w:ascii="宋体" w:hAnsi="宋体" w:eastAsia="宋体" w:cs="宋体"/>
                <w:color w:val="auto"/>
                <w:szCs w:val="18"/>
                <w:highlight w:val="none"/>
              </w:rPr>
            </w:pPr>
          </w:p>
        </w:tc>
        <w:tc>
          <w:tcPr>
            <w:tcW w:w="1275" w:type="dxa"/>
            <w:gridSpan w:val="2"/>
            <w:vMerge w:val="continue"/>
            <w:vAlign w:val="center"/>
          </w:tcPr>
          <w:p w14:paraId="2E39C11E">
            <w:pPr>
              <w:jc w:val="center"/>
              <w:rPr>
                <w:rFonts w:hint="eastAsia" w:ascii="宋体" w:hAnsi="宋体" w:eastAsia="宋体" w:cs="宋体"/>
                <w:color w:val="auto"/>
                <w:szCs w:val="18"/>
                <w:highlight w:val="none"/>
              </w:rPr>
            </w:pPr>
          </w:p>
        </w:tc>
        <w:tc>
          <w:tcPr>
            <w:tcW w:w="1781" w:type="dxa"/>
            <w:gridSpan w:val="3"/>
            <w:vAlign w:val="center"/>
          </w:tcPr>
          <w:p w14:paraId="4F249406">
            <w:pPr>
              <w:jc w:val="center"/>
              <w:rPr>
                <w:rFonts w:hint="eastAsia" w:ascii="宋体" w:hAnsi="宋体" w:eastAsia="宋体" w:cs="宋体"/>
                <w:color w:val="auto"/>
                <w:szCs w:val="18"/>
                <w:highlight w:val="none"/>
              </w:rPr>
            </w:pPr>
            <w:r>
              <w:rPr>
                <w:rFonts w:hint="eastAsia" w:ascii="宋体" w:hAnsi="宋体" w:eastAsia="宋体" w:cs="宋体"/>
                <w:color w:val="auto"/>
                <w:szCs w:val="18"/>
                <w:highlight w:val="none"/>
              </w:rPr>
              <w:t>初级职称人员</w:t>
            </w:r>
          </w:p>
        </w:tc>
        <w:tc>
          <w:tcPr>
            <w:tcW w:w="2908" w:type="dxa"/>
            <w:gridSpan w:val="3"/>
            <w:vAlign w:val="center"/>
          </w:tcPr>
          <w:p w14:paraId="4EF58BD6">
            <w:pPr>
              <w:jc w:val="center"/>
              <w:rPr>
                <w:rFonts w:hint="eastAsia" w:ascii="宋体" w:hAnsi="宋体" w:eastAsia="宋体" w:cs="宋体"/>
                <w:color w:val="auto"/>
                <w:szCs w:val="18"/>
                <w:highlight w:val="none"/>
              </w:rPr>
            </w:pPr>
          </w:p>
        </w:tc>
      </w:tr>
      <w:tr w14:paraId="1CF94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879" w:type="dxa"/>
            <w:vAlign w:val="center"/>
          </w:tcPr>
          <w:p w14:paraId="1520CBFE">
            <w:pPr>
              <w:jc w:val="center"/>
              <w:rPr>
                <w:rFonts w:hint="eastAsia" w:ascii="宋体" w:hAnsi="宋体" w:eastAsia="宋体" w:cs="宋体"/>
                <w:color w:val="auto"/>
                <w:szCs w:val="18"/>
                <w:highlight w:val="none"/>
              </w:rPr>
            </w:pPr>
            <w:r>
              <w:rPr>
                <w:rFonts w:hint="eastAsia" w:ascii="宋体" w:hAnsi="宋体" w:eastAsia="宋体" w:cs="宋体"/>
                <w:color w:val="auto"/>
                <w:szCs w:val="18"/>
                <w:highlight w:val="none"/>
              </w:rPr>
              <w:t>经营范围</w:t>
            </w:r>
          </w:p>
        </w:tc>
        <w:tc>
          <w:tcPr>
            <w:tcW w:w="7980" w:type="dxa"/>
            <w:gridSpan w:val="10"/>
            <w:vAlign w:val="center"/>
          </w:tcPr>
          <w:p w14:paraId="6462EABA">
            <w:pPr>
              <w:jc w:val="center"/>
              <w:rPr>
                <w:rFonts w:hint="eastAsia" w:ascii="宋体" w:hAnsi="宋体" w:eastAsia="宋体" w:cs="宋体"/>
                <w:color w:val="auto"/>
                <w:szCs w:val="18"/>
                <w:highlight w:val="none"/>
              </w:rPr>
            </w:pPr>
          </w:p>
        </w:tc>
      </w:tr>
      <w:tr w14:paraId="3EC7A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9859" w:type="dxa"/>
            <w:gridSpan w:val="11"/>
            <w:vAlign w:val="center"/>
          </w:tcPr>
          <w:p w14:paraId="108F37FD">
            <w:pPr>
              <w:jc w:val="center"/>
              <w:rPr>
                <w:rFonts w:hint="eastAsia" w:ascii="宋体" w:hAnsi="宋体" w:eastAsia="宋体" w:cs="宋体"/>
                <w:color w:val="auto"/>
                <w:szCs w:val="18"/>
                <w:highlight w:val="none"/>
              </w:rPr>
            </w:pPr>
            <w:r>
              <w:rPr>
                <w:rFonts w:hint="eastAsia" w:ascii="宋体" w:hAnsi="宋体" w:eastAsia="宋体" w:cs="宋体"/>
                <w:color w:val="auto"/>
                <w:szCs w:val="18"/>
                <w:highlight w:val="none"/>
              </w:rPr>
              <w:t>资产构成情况</w:t>
            </w:r>
          </w:p>
        </w:tc>
      </w:tr>
      <w:tr w14:paraId="5960E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879" w:type="dxa"/>
            <w:vAlign w:val="center"/>
          </w:tcPr>
          <w:p w14:paraId="65BB18F1">
            <w:pPr>
              <w:jc w:val="center"/>
              <w:rPr>
                <w:rFonts w:hint="eastAsia" w:ascii="宋体" w:hAnsi="宋体" w:eastAsia="宋体" w:cs="宋体"/>
                <w:color w:val="auto"/>
                <w:szCs w:val="18"/>
                <w:highlight w:val="none"/>
              </w:rPr>
            </w:pPr>
            <w:r>
              <w:rPr>
                <w:rFonts w:hint="eastAsia" w:ascii="宋体" w:hAnsi="宋体" w:eastAsia="宋体" w:cs="宋体"/>
                <w:color w:val="auto"/>
                <w:szCs w:val="18"/>
                <w:highlight w:val="none"/>
              </w:rPr>
              <w:t>企业类型</w:t>
            </w:r>
          </w:p>
        </w:tc>
        <w:tc>
          <w:tcPr>
            <w:tcW w:w="2598" w:type="dxa"/>
            <w:gridSpan w:val="3"/>
            <w:vAlign w:val="center"/>
          </w:tcPr>
          <w:p w14:paraId="134FD742">
            <w:pPr>
              <w:jc w:val="center"/>
              <w:rPr>
                <w:rFonts w:hint="eastAsia" w:ascii="宋体" w:hAnsi="宋体" w:eastAsia="宋体" w:cs="宋体"/>
                <w:color w:val="auto"/>
                <w:szCs w:val="18"/>
                <w:highlight w:val="none"/>
              </w:rPr>
            </w:pPr>
          </w:p>
        </w:tc>
        <w:tc>
          <w:tcPr>
            <w:tcW w:w="2690" w:type="dxa"/>
            <w:gridSpan w:val="5"/>
            <w:vAlign w:val="center"/>
          </w:tcPr>
          <w:p w14:paraId="2161669F">
            <w:pPr>
              <w:jc w:val="center"/>
              <w:rPr>
                <w:rFonts w:hint="eastAsia" w:ascii="宋体" w:hAnsi="宋体" w:eastAsia="宋体" w:cs="宋体"/>
                <w:color w:val="auto"/>
                <w:szCs w:val="18"/>
                <w:highlight w:val="none"/>
              </w:rPr>
            </w:pPr>
            <w:r>
              <w:rPr>
                <w:rFonts w:hint="eastAsia" w:ascii="宋体" w:hAnsi="宋体" w:eastAsia="宋体" w:cs="宋体"/>
                <w:color w:val="auto"/>
                <w:szCs w:val="18"/>
                <w:highlight w:val="none"/>
              </w:rPr>
              <w:t>注册资本</w:t>
            </w:r>
          </w:p>
        </w:tc>
        <w:tc>
          <w:tcPr>
            <w:tcW w:w="2692" w:type="dxa"/>
            <w:gridSpan w:val="2"/>
            <w:vAlign w:val="center"/>
          </w:tcPr>
          <w:p w14:paraId="236AFDD4">
            <w:pPr>
              <w:jc w:val="center"/>
              <w:rPr>
                <w:rFonts w:hint="eastAsia" w:ascii="宋体" w:hAnsi="宋体" w:eastAsia="宋体" w:cs="宋体"/>
                <w:color w:val="auto"/>
                <w:szCs w:val="18"/>
                <w:highlight w:val="none"/>
              </w:rPr>
            </w:pPr>
          </w:p>
        </w:tc>
      </w:tr>
      <w:tr w14:paraId="6F359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879" w:type="dxa"/>
            <w:vAlign w:val="center"/>
          </w:tcPr>
          <w:p w14:paraId="0D7FAA1A">
            <w:pPr>
              <w:jc w:val="center"/>
              <w:rPr>
                <w:rFonts w:hint="eastAsia" w:ascii="宋体" w:hAnsi="宋体" w:eastAsia="宋体" w:cs="宋体"/>
                <w:color w:val="auto"/>
                <w:szCs w:val="18"/>
                <w:highlight w:val="none"/>
              </w:rPr>
            </w:pPr>
            <w:r>
              <w:rPr>
                <w:rFonts w:hint="eastAsia" w:ascii="宋体" w:hAnsi="宋体" w:eastAsia="宋体" w:cs="宋体"/>
                <w:color w:val="auto"/>
                <w:szCs w:val="18"/>
                <w:highlight w:val="none"/>
              </w:rPr>
              <w:t>股东名称</w:t>
            </w:r>
          </w:p>
        </w:tc>
        <w:tc>
          <w:tcPr>
            <w:tcW w:w="2598" w:type="dxa"/>
            <w:gridSpan w:val="3"/>
            <w:vAlign w:val="center"/>
          </w:tcPr>
          <w:p w14:paraId="5CB3E534">
            <w:pPr>
              <w:jc w:val="center"/>
              <w:rPr>
                <w:rFonts w:hint="eastAsia" w:ascii="宋体" w:hAnsi="宋体" w:eastAsia="宋体" w:cs="宋体"/>
                <w:color w:val="auto"/>
                <w:szCs w:val="18"/>
                <w:highlight w:val="none"/>
              </w:rPr>
            </w:pPr>
            <w:r>
              <w:rPr>
                <w:rFonts w:hint="eastAsia" w:ascii="宋体" w:hAnsi="宋体" w:eastAsia="宋体" w:cs="宋体"/>
                <w:color w:val="auto"/>
                <w:szCs w:val="18"/>
                <w:highlight w:val="none"/>
              </w:rPr>
              <w:t>股东类型</w:t>
            </w:r>
          </w:p>
        </w:tc>
        <w:tc>
          <w:tcPr>
            <w:tcW w:w="2690" w:type="dxa"/>
            <w:gridSpan w:val="5"/>
            <w:vAlign w:val="center"/>
          </w:tcPr>
          <w:p w14:paraId="1336B1DD">
            <w:pPr>
              <w:jc w:val="center"/>
              <w:rPr>
                <w:rFonts w:hint="eastAsia" w:ascii="宋体" w:hAnsi="宋体" w:eastAsia="宋体" w:cs="宋体"/>
                <w:color w:val="auto"/>
                <w:szCs w:val="18"/>
                <w:highlight w:val="none"/>
              </w:rPr>
            </w:pPr>
            <w:r>
              <w:rPr>
                <w:rFonts w:hint="eastAsia" w:ascii="宋体" w:hAnsi="宋体" w:eastAsia="宋体" w:cs="宋体"/>
                <w:color w:val="auto"/>
                <w:szCs w:val="18"/>
                <w:highlight w:val="none"/>
              </w:rPr>
              <w:t>出资额（元）</w:t>
            </w:r>
          </w:p>
        </w:tc>
        <w:tc>
          <w:tcPr>
            <w:tcW w:w="2692" w:type="dxa"/>
            <w:gridSpan w:val="2"/>
            <w:vAlign w:val="center"/>
          </w:tcPr>
          <w:p w14:paraId="5775B45F">
            <w:pPr>
              <w:jc w:val="center"/>
              <w:rPr>
                <w:rFonts w:hint="eastAsia" w:ascii="宋体" w:hAnsi="宋体" w:eastAsia="宋体" w:cs="宋体"/>
                <w:color w:val="auto"/>
                <w:szCs w:val="18"/>
                <w:highlight w:val="none"/>
              </w:rPr>
            </w:pPr>
            <w:r>
              <w:rPr>
                <w:rFonts w:hint="eastAsia" w:ascii="宋体" w:hAnsi="宋体" w:eastAsia="宋体" w:cs="宋体"/>
                <w:color w:val="auto"/>
                <w:szCs w:val="18"/>
                <w:highlight w:val="none"/>
              </w:rPr>
              <w:t>所任职务</w:t>
            </w:r>
          </w:p>
        </w:tc>
      </w:tr>
      <w:tr w14:paraId="3408E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879" w:type="dxa"/>
            <w:vAlign w:val="center"/>
          </w:tcPr>
          <w:p w14:paraId="233C8369">
            <w:pPr>
              <w:jc w:val="center"/>
              <w:rPr>
                <w:rFonts w:hint="eastAsia" w:ascii="宋体" w:hAnsi="宋体" w:eastAsia="宋体" w:cs="宋体"/>
                <w:color w:val="auto"/>
                <w:szCs w:val="18"/>
                <w:highlight w:val="none"/>
              </w:rPr>
            </w:pPr>
          </w:p>
        </w:tc>
        <w:tc>
          <w:tcPr>
            <w:tcW w:w="2598" w:type="dxa"/>
            <w:gridSpan w:val="3"/>
            <w:vAlign w:val="center"/>
          </w:tcPr>
          <w:p w14:paraId="6D448844">
            <w:pPr>
              <w:jc w:val="center"/>
              <w:rPr>
                <w:rFonts w:hint="eastAsia" w:ascii="宋体" w:hAnsi="宋体" w:eastAsia="宋体" w:cs="宋体"/>
                <w:color w:val="auto"/>
                <w:szCs w:val="18"/>
                <w:highlight w:val="none"/>
              </w:rPr>
            </w:pPr>
          </w:p>
        </w:tc>
        <w:tc>
          <w:tcPr>
            <w:tcW w:w="2690" w:type="dxa"/>
            <w:gridSpan w:val="5"/>
            <w:vAlign w:val="center"/>
          </w:tcPr>
          <w:p w14:paraId="3E2B579B">
            <w:pPr>
              <w:jc w:val="center"/>
              <w:rPr>
                <w:rFonts w:hint="eastAsia" w:ascii="宋体" w:hAnsi="宋体" w:eastAsia="宋体" w:cs="宋体"/>
                <w:color w:val="auto"/>
                <w:szCs w:val="18"/>
                <w:highlight w:val="none"/>
              </w:rPr>
            </w:pPr>
          </w:p>
        </w:tc>
        <w:tc>
          <w:tcPr>
            <w:tcW w:w="2692" w:type="dxa"/>
            <w:gridSpan w:val="2"/>
            <w:vAlign w:val="center"/>
          </w:tcPr>
          <w:p w14:paraId="167FF98F">
            <w:pPr>
              <w:jc w:val="center"/>
              <w:rPr>
                <w:rFonts w:hint="eastAsia" w:ascii="宋体" w:hAnsi="宋体" w:eastAsia="宋体" w:cs="宋体"/>
                <w:color w:val="auto"/>
                <w:szCs w:val="18"/>
                <w:highlight w:val="none"/>
              </w:rPr>
            </w:pPr>
          </w:p>
        </w:tc>
      </w:tr>
      <w:tr w14:paraId="15B74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879" w:type="dxa"/>
            <w:vAlign w:val="center"/>
          </w:tcPr>
          <w:p w14:paraId="3DB052B7">
            <w:pPr>
              <w:jc w:val="center"/>
              <w:rPr>
                <w:rFonts w:hint="eastAsia" w:ascii="宋体" w:hAnsi="宋体" w:eastAsia="宋体" w:cs="宋体"/>
                <w:color w:val="auto"/>
                <w:szCs w:val="18"/>
                <w:highlight w:val="none"/>
              </w:rPr>
            </w:pPr>
          </w:p>
        </w:tc>
        <w:tc>
          <w:tcPr>
            <w:tcW w:w="2598" w:type="dxa"/>
            <w:gridSpan w:val="3"/>
            <w:vAlign w:val="center"/>
          </w:tcPr>
          <w:p w14:paraId="01EBEA6A">
            <w:pPr>
              <w:jc w:val="center"/>
              <w:rPr>
                <w:rFonts w:hint="eastAsia" w:ascii="宋体" w:hAnsi="宋体" w:eastAsia="宋体" w:cs="宋体"/>
                <w:color w:val="auto"/>
                <w:szCs w:val="18"/>
                <w:highlight w:val="none"/>
              </w:rPr>
            </w:pPr>
          </w:p>
        </w:tc>
        <w:tc>
          <w:tcPr>
            <w:tcW w:w="2690" w:type="dxa"/>
            <w:gridSpan w:val="5"/>
            <w:vAlign w:val="center"/>
          </w:tcPr>
          <w:p w14:paraId="73D782A9">
            <w:pPr>
              <w:jc w:val="center"/>
              <w:rPr>
                <w:rFonts w:hint="eastAsia" w:ascii="宋体" w:hAnsi="宋体" w:eastAsia="宋体" w:cs="宋体"/>
                <w:color w:val="auto"/>
                <w:szCs w:val="18"/>
                <w:highlight w:val="none"/>
              </w:rPr>
            </w:pPr>
          </w:p>
        </w:tc>
        <w:tc>
          <w:tcPr>
            <w:tcW w:w="2692" w:type="dxa"/>
            <w:gridSpan w:val="2"/>
            <w:vAlign w:val="center"/>
          </w:tcPr>
          <w:p w14:paraId="7A21EF6A">
            <w:pPr>
              <w:jc w:val="center"/>
              <w:rPr>
                <w:rFonts w:hint="eastAsia" w:ascii="宋体" w:hAnsi="宋体" w:eastAsia="宋体" w:cs="宋体"/>
                <w:color w:val="auto"/>
                <w:szCs w:val="18"/>
                <w:highlight w:val="none"/>
              </w:rPr>
            </w:pPr>
          </w:p>
        </w:tc>
      </w:tr>
      <w:tr w14:paraId="659EF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9859" w:type="dxa"/>
            <w:gridSpan w:val="11"/>
            <w:vAlign w:val="center"/>
          </w:tcPr>
          <w:p w14:paraId="3E667E43">
            <w:pPr>
              <w:jc w:val="center"/>
              <w:rPr>
                <w:rFonts w:hint="eastAsia" w:ascii="宋体" w:hAnsi="宋体" w:eastAsia="宋体" w:cs="宋体"/>
                <w:color w:val="auto"/>
                <w:szCs w:val="18"/>
                <w:highlight w:val="none"/>
              </w:rPr>
            </w:pPr>
            <w:r>
              <w:rPr>
                <w:rFonts w:hint="eastAsia" w:ascii="宋体" w:hAnsi="宋体" w:eastAsia="宋体" w:cs="宋体"/>
                <w:color w:val="auto"/>
                <w:szCs w:val="18"/>
                <w:highlight w:val="none"/>
              </w:rPr>
              <w:t>投资参股或有管理关系的关联企业情况（限于有可能同时参加投标的同类企业）</w:t>
            </w:r>
          </w:p>
        </w:tc>
      </w:tr>
      <w:tr w14:paraId="4F58B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879" w:type="dxa"/>
            <w:vAlign w:val="center"/>
          </w:tcPr>
          <w:p w14:paraId="6DFC380D">
            <w:pPr>
              <w:jc w:val="center"/>
              <w:rPr>
                <w:rFonts w:hint="eastAsia" w:ascii="宋体" w:hAnsi="宋体" w:eastAsia="宋体" w:cs="宋体"/>
                <w:color w:val="auto"/>
                <w:szCs w:val="18"/>
                <w:highlight w:val="none"/>
              </w:rPr>
            </w:pPr>
            <w:r>
              <w:rPr>
                <w:rFonts w:hint="eastAsia" w:ascii="宋体" w:hAnsi="宋体" w:eastAsia="宋体" w:cs="宋体"/>
                <w:color w:val="auto"/>
                <w:szCs w:val="18"/>
                <w:highlight w:val="none"/>
              </w:rPr>
              <w:t>企业名称</w:t>
            </w:r>
          </w:p>
        </w:tc>
        <w:tc>
          <w:tcPr>
            <w:tcW w:w="2598" w:type="dxa"/>
            <w:gridSpan w:val="3"/>
            <w:vAlign w:val="center"/>
          </w:tcPr>
          <w:p w14:paraId="3C118893">
            <w:pPr>
              <w:jc w:val="center"/>
              <w:rPr>
                <w:rFonts w:hint="eastAsia" w:ascii="宋体" w:hAnsi="宋体" w:eastAsia="宋体" w:cs="宋体"/>
                <w:color w:val="auto"/>
                <w:szCs w:val="18"/>
                <w:highlight w:val="none"/>
              </w:rPr>
            </w:pPr>
            <w:r>
              <w:rPr>
                <w:rFonts w:hint="eastAsia" w:ascii="宋体" w:hAnsi="宋体" w:eastAsia="宋体" w:cs="宋体"/>
                <w:color w:val="auto"/>
                <w:szCs w:val="18"/>
                <w:highlight w:val="none"/>
              </w:rPr>
              <w:t>企业类型</w:t>
            </w:r>
          </w:p>
        </w:tc>
        <w:tc>
          <w:tcPr>
            <w:tcW w:w="2690" w:type="dxa"/>
            <w:gridSpan w:val="5"/>
            <w:vAlign w:val="center"/>
          </w:tcPr>
          <w:p w14:paraId="62867511">
            <w:pPr>
              <w:jc w:val="center"/>
              <w:rPr>
                <w:rFonts w:hint="eastAsia" w:ascii="宋体" w:hAnsi="宋体" w:eastAsia="宋体" w:cs="宋体"/>
                <w:color w:val="auto"/>
                <w:szCs w:val="18"/>
                <w:highlight w:val="none"/>
              </w:rPr>
            </w:pPr>
            <w:r>
              <w:rPr>
                <w:rFonts w:hint="eastAsia" w:ascii="宋体" w:hAnsi="宋体" w:eastAsia="宋体" w:cs="宋体"/>
                <w:color w:val="auto"/>
                <w:szCs w:val="18"/>
                <w:highlight w:val="none"/>
              </w:rPr>
              <w:t>法定代表人</w:t>
            </w:r>
          </w:p>
        </w:tc>
        <w:tc>
          <w:tcPr>
            <w:tcW w:w="2692" w:type="dxa"/>
            <w:gridSpan w:val="2"/>
            <w:vAlign w:val="center"/>
          </w:tcPr>
          <w:p w14:paraId="399A0229">
            <w:pPr>
              <w:jc w:val="center"/>
              <w:rPr>
                <w:rFonts w:hint="eastAsia" w:ascii="宋体" w:hAnsi="宋体" w:eastAsia="宋体" w:cs="宋体"/>
                <w:color w:val="auto"/>
                <w:szCs w:val="18"/>
                <w:highlight w:val="none"/>
              </w:rPr>
            </w:pPr>
            <w:r>
              <w:rPr>
                <w:rFonts w:hint="eastAsia" w:ascii="宋体" w:hAnsi="宋体" w:eastAsia="宋体" w:cs="宋体"/>
                <w:color w:val="auto"/>
                <w:szCs w:val="18"/>
                <w:highlight w:val="none"/>
              </w:rPr>
              <w:t>投标人与其关系</w:t>
            </w:r>
          </w:p>
        </w:tc>
      </w:tr>
      <w:tr w14:paraId="1809C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879" w:type="dxa"/>
            <w:vAlign w:val="center"/>
          </w:tcPr>
          <w:p w14:paraId="24F0A5B9">
            <w:pPr>
              <w:jc w:val="center"/>
              <w:rPr>
                <w:rFonts w:hint="eastAsia" w:ascii="宋体" w:hAnsi="宋体" w:eastAsia="宋体" w:cs="宋体"/>
                <w:color w:val="auto"/>
                <w:szCs w:val="18"/>
                <w:highlight w:val="none"/>
              </w:rPr>
            </w:pPr>
          </w:p>
        </w:tc>
        <w:tc>
          <w:tcPr>
            <w:tcW w:w="2598" w:type="dxa"/>
            <w:gridSpan w:val="3"/>
            <w:vAlign w:val="center"/>
          </w:tcPr>
          <w:p w14:paraId="522A19E8">
            <w:pPr>
              <w:jc w:val="center"/>
              <w:rPr>
                <w:rFonts w:hint="eastAsia" w:ascii="宋体" w:hAnsi="宋体" w:eastAsia="宋体" w:cs="宋体"/>
                <w:color w:val="auto"/>
                <w:szCs w:val="18"/>
                <w:highlight w:val="none"/>
              </w:rPr>
            </w:pPr>
          </w:p>
        </w:tc>
        <w:tc>
          <w:tcPr>
            <w:tcW w:w="2690" w:type="dxa"/>
            <w:gridSpan w:val="5"/>
            <w:vAlign w:val="center"/>
          </w:tcPr>
          <w:p w14:paraId="2C138657">
            <w:pPr>
              <w:jc w:val="center"/>
              <w:rPr>
                <w:rFonts w:hint="eastAsia" w:ascii="宋体" w:hAnsi="宋体" w:eastAsia="宋体" w:cs="宋体"/>
                <w:color w:val="auto"/>
                <w:szCs w:val="18"/>
                <w:highlight w:val="none"/>
              </w:rPr>
            </w:pPr>
          </w:p>
        </w:tc>
        <w:tc>
          <w:tcPr>
            <w:tcW w:w="2692" w:type="dxa"/>
            <w:gridSpan w:val="2"/>
            <w:vAlign w:val="center"/>
          </w:tcPr>
          <w:p w14:paraId="59289249">
            <w:pPr>
              <w:jc w:val="center"/>
              <w:rPr>
                <w:rFonts w:hint="eastAsia" w:ascii="宋体" w:hAnsi="宋体" w:eastAsia="宋体" w:cs="宋体"/>
                <w:color w:val="auto"/>
                <w:szCs w:val="18"/>
                <w:highlight w:val="none"/>
              </w:rPr>
            </w:pPr>
          </w:p>
        </w:tc>
      </w:tr>
      <w:tr w14:paraId="21151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879" w:type="dxa"/>
            <w:vAlign w:val="center"/>
          </w:tcPr>
          <w:p w14:paraId="47939A6D">
            <w:pPr>
              <w:jc w:val="center"/>
              <w:rPr>
                <w:rFonts w:hint="eastAsia" w:ascii="宋体" w:hAnsi="宋体" w:eastAsia="宋体" w:cs="宋体"/>
                <w:color w:val="auto"/>
                <w:szCs w:val="18"/>
                <w:highlight w:val="none"/>
              </w:rPr>
            </w:pPr>
          </w:p>
        </w:tc>
        <w:tc>
          <w:tcPr>
            <w:tcW w:w="2598" w:type="dxa"/>
            <w:gridSpan w:val="3"/>
            <w:vAlign w:val="center"/>
          </w:tcPr>
          <w:p w14:paraId="70B7DA5B">
            <w:pPr>
              <w:jc w:val="center"/>
              <w:rPr>
                <w:rFonts w:hint="eastAsia" w:ascii="宋体" w:hAnsi="宋体" w:eastAsia="宋体" w:cs="宋体"/>
                <w:color w:val="auto"/>
                <w:szCs w:val="18"/>
                <w:highlight w:val="none"/>
              </w:rPr>
            </w:pPr>
          </w:p>
        </w:tc>
        <w:tc>
          <w:tcPr>
            <w:tcW w:w="2690" w:type="dxa"/>
            <w:gridSpan w:val="5"/>
            <w:vAlign w:val="center"/>
          </w:tcPr>
          <w:p w14:paraId="082C2E61">
            <w:pPr>
              <w:jc w:val="center"/>
              <w:rPr>
                <w:rFonts w:hint="eastAsia" w:ascii="宋体" w:hAnsi="宋体" w:eastAsia="宋体" w:cs="宋体"/>
                <w:color w:val="auto"/>
                <w:szCs w:val="18"/>
                <w:highlight w:val="none"/>
              </w:rPr>
            </w:pPr>
          </w:p>
        </w:tc>
        <w:tc>
          <w:tcPr>
            <w:tcW w:w="2692" w:type="dxa"/>
            <w:gridSpan w:val="2"/>
            <w:vAlign w:val="center"/>
          </w:tcPr>
          <w:p w14:paraId="798C92E8">
            <w:pPr>
              <w:jc w:val="center"/>
              <w:rPr>
                <w:rFonts w:hint="eastAsia" w:ascii="宋体" w:hAnsi="宋体" w:eastAsia="宋体" w:cs="宋体"/>
                <w:color w:val="auto"/>
                <w:szCs w:val="18"/>
                <w:highlight w:val="none"/>
              </w:rPr>
            </w:pPr>
          </w:p>
        </w:tc>
      </w:tr>
      <w:tr w14:paraId="573B4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879" w:type="dxa"/>
            <w:vAlign w:val="center"/>
          </w:tcPr>
          <w:p w14:paraId="4A77EF67">
            <w:pPr>
              <w:jc w:val="center"/>
              <w:rPr>
                <w:rFonts w:hint="eastAsia" w:ascii="宋体" w:hAnsi="宋体" w:eastAsia="宋体" w:cs="宋体"/>
                <w:color w:val="auto"/>
                <w:szCs w:val="18"/>
                <w:highlight w:val="none"/>
              </w:rPr>
            </w:pPr>
            <w:r>
              <w:rPr>
                <w:rFonts w:hint="eastAsia" w:ascii="宋体" w:hAnsi="宋体" w:eastAsia="宋体" w:cs="宋体"/>
                <w:color w:val="auto"/>
                <w:szCs w:val="18"/>
                <w:highlight w:val="none"/>
              </w:rPr>
              <w:t>备注</w:t>
            </w:r>
          </w:p>
        </w:tc>
        <w:tc>
          <w:tcPr>
            <w:tcW w:w="7980" w:type="dxa"/>
            <w:gridSpan w:val="10"/>
            <w:vAlign w:val="center"/>
          </w:tcPr>
          <w:p w14:paraId="2B81B9AE">
            <w:pPr>
              <w:jc w:val="center"/>
              <w:rPr>
                <w:rFonts w:hint="eastAsia" w:ascii="宋体" w:hAnsi="宋体" w:eastAsia="宋体" w:cs="宋体"/>
                <w:color w:val="auto"/>
                <w:szCs w:val="18"/>
                <w:highlight w:val="none"/>
              </w:rPr>
            </w:pPr>
          </w:p>
        </w:tc>
      </w:tr>
    </w:tbl>
    <w:p w14:paraId="2ED032E9">
      <w:pPr>
        <w:spacing w:line="360" w:lineRule="exact"/>
        <w:ind w:firstLine="480"/>
        <w:rPr>
          <w:rFonts w:hint="eastAsia" w:ascii="宋体" w:hAnsi="宋体" w:eastAsia="宋体" w:cs="宋体"/>
          <w:b/>
          <w:color w:val="auto"/>
          <w:sz w:val="32"/>
          <w:szCs w:val="32"/>
          <w:highlight w:val="none"/>
        </w:rPr>
      </w:pPr>
    </w:p>
    <w:p w14:paraId="12818279">
      <w:pPr>
        <w:ind w:firstLine="422" w:firstLineChars="20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注：</w:t>
      </w:r>
    </w:p>
    <w:p w14:paraId="6D5B39C4">
      <w:pPr>
        <w:ind w:firstLine="422" w:firstLineChars="20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1.附企业有效的营业执照复印件并加盖投标单位公章。</w:t>
      </w:r>
    </w:p>
    <w:p w14:paraId="467032A2">
      <w:pPr>
        <w:ind w:firstLine="422" w:firstLineChars="20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2.附</w:t>
      </w:r>
      <w:r>
        <w:rPr>
          <w:rFonts w:hint="eastAsia" w:ascii="宋体" w:hAnsi="宋体" w:eastAsia="宋体" w:cs="宋体"/>
          <w:b/>
          <w:color w:val="auto"/>
          <w:sz w:val="21"/>
          <w:szCs w:val="21"/>
          <w:highlight w:val="none"/>
          <w:lang w:val="en-US" w:eastAsia="zh-CN"/>
        </w:rPr>
        <w:t>投标</w:t>
      </w:r>
      <w:r>
        <w:rPr>
          <w:rFonts w:hint="eastAsia" w:ascii="宋体" w:hAnsi="宋体" w:cs="宋体"/>
          <w:b/>
          <w:color w:val="auto"/>
          <w:sz w:val="21"/>
          <w:szCs w:val="21"/>
          <w:highlight w:val="none"/>
          <w:lang w:val="en-US" w:eastAsia="zh-CN"/>
        </w:rPr>
        <w:t>人2022年度或2023年度</w:t>
      </w:r>
      <w:r>
        <w:rPr>
          <w:rFonts w:hint="eastAsia" w:ascii="宋体" w:hAnsi="宋体" w:cs="宋体"/>
          <w:b/>
          <w:color w:val="auto"/>
          <w:sz w:val="21"/>
          <w:szCs w:val="21"/>
          <w:highlight w:val="none"/>
          <w:lang w:eastAsia="zh-CN"/>
        </w:rPr>
        <w:t>的财务报表或审计报告复印件</w:t>
      </w:r>
      <w:r>
        <w:rPr>
          <w:rFonts w:hint="eastAsia" w:ascii="宋体" w:hAnsi="宋体" w:eastAsia="宋体" w:cs="宋体"/>
          <w:b/>
          <w:color w:val="auto"/>
          <w:sz w:val="21"/>
          <w:szCs w:val="21"/>
          <w:highlight w:val="none"/>
        </w:rPr>
        <w:t>（</w:t>
      </w:r>
      <w:r>
        <w:rPr>
          <w:rFonts w:hint="eastAsia" w:ascii="宋体" w:hAnsi="宋体" w:cs="宋体"/>
          <w:b/>
          <w:color w:val="auto"/>
          <w:sz w:val="21"/>
          <w:szCs w:val="21"/>
          <w:highlight w:val="none"/>
          <w:lang w:eastAsia="zh-CN"/>
        </w:rPr>
        <w:t>报表或报告至少包含资产负债表</w:t>
      </w:r>
      <w:r>
        <w:rPr>
          <w:rFonts w:hint="eastAsia" w:ascii="宋体" w:hAnsi="宋体" w:eastAsia="宋体" w:cs="宋体"/>
          <w:b/>
          <w:color w:val="auto"/>
          <w:sz w:val="21"/>
          <w:szCs w:val="21"/>
          <w:highlight w:val="none"/>
        </w:rPr>
        <w:t>、现金流量表、利润表）并加盖投标单位公章。对于从取得营业执照时间起到投标截止时间为止不足要求年数的企业，只需提交企业取得营业执照年份至所要求最近年份的财务报表。</w:t>
      </w:r>
    </w:p>
    <w:p w14:paraId="3D8B7970">
      <w:pPr>
        <w:ind w:firstLine="422" w:firstLineChars="20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3.附投标人截至投标截止日前</w:t>
      </w:r>
      <w:r>
        <w:rPr>
          <w:rFonts w:hint="eastAsia" w:ascii="宋体" w:hAnsi="宋体" w:eastAsia="宋体" w:cs="宋体"/>
          <w:b/>
          <w:color w:val="auto"/>
          <w:sz w:val="21"/>
          <w:szCs w:val="21"/>
          <w:highlight w:val="none"/>
          <w:lang w:val="en-US" w:eastAsia="zh-CN"/>
        </w:rPr>
        <w:t>三</w:t>
      </w:r>
      <w:r>
        <w:rPr>
          <w:rFonts w:hint="eastAsia" w:ascii="宋体" w:hAnsi="宋体" w:eastAsia="宋体" w:cs="宋体"/>
          <w:b/>
          <w:color w:val="auto"/>
          <w:sz w:val="21"/>
          <w:szCs w:val="21"/>
          <w:highlight w:val="none"/>
        </w:rPr>
        <w:t>个月</w:t>
      </w:r>
      <w:r>
        <w:rPr>
          <w:rFonts w:hint="eastAsia" w:ascii="宋体" w:hAnsi="宋体" w:cs="宋体"/>
          <w:b/>
          <w:color w:val="auto"/>
          <w:sz w:val="21"/>
          <w:szCs w:val="21"/>
          <w:highlight w:val="none"/>
          <w:lang w:eastAsia="zh-CN"/>
        </w:rPr>
        <w:t>（</w:t>
      </w:r>
      <w:r>
        <w:rPr>
          <w:rFonts w:hint="eastAsia" w:ascii="宋体" w:hAnsi="宋体" w:cs="宋体"/>
          <w:b/>
          <w:color w:val="auto"/>
          <w:sz w:val="21"/>
          <w:szCs w:val="21"/>
          <w:highlight w:val="none"/>
          <w:lang w:val="en-US" w:eastAsia="zh-CN"/>
        </w:rPr>
        <w:t>2024年9月-11月</w:t>
      </w:r>
      <w:r>
        <w:rPr>
          <w:rFonts w:hint="eastAsia" w:ascii="宋体" w:hAnsi="宋体" w:cs="宋体"/>
          <w:b/>
          <w:color w:val="auto"/>
          <w:sz w:val="21"/>
          <w:szCs w:val="21"/>
          <w:highlight w:val="none"/>
          <w:lang w:eastAsia="zh-CN"/>
        </w:rPr>
        <w:t>）</w:t>
      </w:r>
      <w:r>
        <w:rPr>
          <w:rFonts w:hint="eastAsia" w:ascii="宋体" w:hAnsi="宋体" w:eastAsia="宋体" w:cs="宋体"/>
          <w:b/>
          <w:color w:val="auto"/>
          <w:sz w:val="21"/>
          <w:szCs w:val="21"/>
          <w:highlight w:val="none"/>
        </w:rPr>
        <w:t>内任意一个月的“中华人民共和国税收转账专用完税证”复印件或电子缴税付款凭证复印件或税务征收机关出具的依法缴纳税收证明复印件或零申报的税务申报表复印件并加盖投标单位公章。</w:t>
      </w:r>
    </w:p>
    <w:p w14:paraId="5D83C25A">
      <w:pPr>
        <w:pStyle w:val="15"/>
        <w:keepNext w:val="0"/>
        <w:keepLines w:val="0"/>
        <w:pageBreakBefore w:val="0"/>
        <w:widowControl w:val="0"/>
        <w:kinsoku/>
        <w:wordWrap/>
        <w:overflowPunct/>
        <w:topLinePunct w:val="0"/>
        <w:autoSpaceDE/>
        <w:autoSpaceDN/>
        <w:bidi w:val="0"/>
        <w:adjustRightInd/>
        <w:snapToGrid/>
        <w:spacing w:after="0" w:line="360" w:lineRule="auto"/>
        <w:ind w:right="482"/>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auto"/>
          <w:sz w:val="21"/>
          <w:szCs w:val="21"/>
          <w:highlight w:val="none"/>
        </w:rPr>
        <w:t>4.附投标人截至投标截止日</w:t>
      </w:r>
      <w:r>
        <w:rPr>
          <w:rFonts w:hint="eastAsia" w:ascii="宋体" w:hAnsi="宋体" w:cs="宋体"/>
          <w:b/>
          <w:color w:val="auto"/>
          <w:sz w:val="21"/>
          <w:szCs w:val="21"/>
          <w:highlight w:val="none"/>
          <w:lang w:eastAsia="zh-CN"/>
        </w:rPr>
        <w:t>前三个月（</w:t>
      </w:r>
      <w:r>
        <w:rPr>
          <w:rFonts w:hint="eastAsia" w:ascii="宋体" w:hAnsi="宋体" w:cs="宋体"/>
          <w:b/>
          <w:color w:val="auto"/>
          <w:sz w:val="21"/>
          <w:szCs w:val="21"/>
          <w:highlight w:val="none"/>
          <w:lang w:val="en-US" w:eastAsia="zh-CN"/>
        </w:rPr>
        <w:t>2024年9月-11月</w:t>
      </w:r>
      <w:r>
        <w:rPr>
          <w:rFonts w:hint="eastAsia" w:ascii="宋体" w:hAnsi="宋体" w:cs="宋体"/>
          <w:b/>
          <w:color w:val="auto"/>
          <w:sz w:val="21"/>
          <w:szCs w:val="21"/>
          <w:highlight w:val="none"/>
          <w:lang w:eastAsia="zh-CN"/>
        </w:rPr>
        <w:t>）内任意一个月</w:t>
      </w:r>
      <w:r>
        <w:rPr>
          <w:rFonts w:hint="eastAsia" w:ascii="宋体" w:hAnsi="宋体" w:eastAsia="宋体" w:cs="宋体"/>
          <w:b/>
          <w:color w:val="auto"/>
          <w:sz w:val="21"/>
          <w:szCs w:val="21"/>
          <w:highlight w:val="none"/>
        </w:rPr>
        <w:t>的“社会保障基金专用收款收据”复印件或电子付款凭证复印件或人力资源与社会保障局（社保中心或劳动监察部门或税务征收机关）出具的依法缴纳社保证明复印件并加盖投标单位公章。</w:t>
      </w:r>
    </w:p>
    <w:p w14:paraId="267ED1AC">
      <w:pP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br w:type="page"/>
      </w:r>
    </w:p>
    <w:p w14:paraId="1DF4816A">
      <w:pPr>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05188EAA">
      <w:pPr>
        <w:pStyle w:val="3"/>
        <w:keepNext w:val="0"/>
        <w:keepLines w:val="0"/>
        <w:pageBreakBefore w:val="0"/>
        <w:widowControl w:val="0"/>
        <w:kinsoku/>
        <w:wordWrap/>
        <w:overflowPunct/>
        <w:topLinePunct w:val="0"/>
        <w:autoSpaceDE/>
        <w:autoSpaceDN/>
        <w:bidi w:val="0"/>
        <w:adjustRightInd/>
        <w:snapToGrid/>
        <w:spacing w:before="0" w:after="0" w:line="360" w:lineRule="auto"/>
        <w:ind w:left="0"/>
        <w:jc w:val="center"/>
        <w:textAlignment w:val="auto"/>
        <w:outlineLvl w:val="1"/>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bookmarkStart w:id="136" w:name="_Toc420868164"/>
      <w:bookmarkStart w:id="137" w:name="_Toc246997112"/>
      <w:bookmarkStart w:id="138" w:name="_Toc144974871"/>
      <w:bookmarkStart w:id="139" w:name="_Toc152045803"/>
      <w:bookmarkStart w:id="140" w:name="_Toc247085887"/>
      <w:bookmarkStart w:id="141" w:name="_Toc381"/>
      <w:bookmarkStart w:id="142" w:name="_Toc11410"/>
      <w:bookmarkStart w:id="143" w:name="_Toc15982"/>
      <w:bookmarkStart w:id="144" w:name="_Toc152042592"/>
      <w:bookmarkStart w:id="145" w:name="_Toc246996369"/>
      <w:bookmarkStart w:id="146" w:name="_Toc179632823"/>
      <w:bookmarkStart w:id="147" w:name="_Toc2351"/>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五</w:t>
      </w:r>
      <w:r>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t>、</w:t>
      </w:r>
      <w:bookmarkEnd w:id="136"/>
      <w:bookmarkEnd w:id="137"/>
      <w:bookmarkEnd w:id="138"/>
      <w:bookmarkEnd w:id="139"/>
      <w:bookmarkEnd w:id="140"/>
      <w:bookmarkEnd w:id="141"/>
      <w:bookmarkEnd w:id="142"/>
      <w:bookmarkEnd w:id="143"/>
      <w:bookmarkEnd w:id="144"/>
      <w:bookmarkEnd w:id="145"/>
      <w:bookmarkEnd w:id="146"/>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方案部分</w:t>
      </w:r>
      <w:bookmarkEnd w:id="147"/>
    </w:p>
    <w:p w14:paraId="38295832">
      <w:pPr>
        <w:pStyle w:val="42"/>
        <w:jc w:val="cente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需要包含项目实施方案及拟投入本项目人员等内容，格式自拟</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w:t>
      </w:r>
    </w:p>
    <w:p w14:paraId="4694F5FD">
      <w:pPr>
        <w:pStyle w:val="42"/>
        <w:rPr>
          <w:rFonts w:hint="eastAsia" w:asciiTheme="minorEastAsia" w:hAnsiTheme="minorEastAsia" w:eastAsiaTheme="minorEastAsia" w:cstheme="minorEastAsia"/>
          <w:color w:val="000000" w:themeColor="text1"/>
          <w:highlight w:val="none"/>
          <w14:textFill>
            <w14:solidFill>
              <w14:schemeClr w14:val="tx1"/>
            </w14:solidFill>
          </w14:textFill>
        </w:rPr>
        <w:sectPr>
          <w:pgSz w:w="11906" w:h="16838"/>
          <w:pgMar w:top="1440" w:right="1800" w:bottom="1440" w:left="1800" w:header="851" w:footer="992" w:gutter="0"/>
          <w:cols w:space="720" w:num="1"/>
          <w:docGrid w:type="lines" w:linePitch="312" w:charSpace="0"/>
        </w:sectPr>
      </w:pPr>
    </w:p>
    <w:p w14:paraId="0805F36B">
      <w:pPr>
        <w:topLinePunct/>
        <w:spacing w:line="360" w:lineRule="auto"/>
        <w:jc w:val="center"/>
        <w:outlineLvl w:val="1"/>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bookmarkStart w:id="148" w:name="_Toc21443"/>
      <w:bookmarkStart w:id="149" w:name="_Toc5815"/>
      <w:bookmarkStart w:id="150" w:name="_Toc27239"/>
      <w:bookmarkStart w:id="151" w:name="_Toc9110"/>
      <w:bookmarkStart w:id="152" w:name="_Toc24476"/>
      <w:r>
        <w:rPr>
          <w:rFonts w:hint="eastAsia" w:asciiTheme="minorEastAsia" w:hAnsiTheme="minorEastAsia" w:eastAsiaTheme="minorEastAsia" w:cstheme="minorEastAsia"/>
          <w:b/>
          <w:color w:val="000000" w:themeColor="text1"/>
          <w:sz w:val="24"/>
          <w:highlight w:val="none"/>
          <w:lang w:val="en-US" w:eastAsia="zh-CN"/>
          <w14:textFill>
            <w14:solidFill>
              <w14:schemeClr w14:val="tx1"/>
            </w14:solidFill>
          </w14:textFill>
        </w:rPr>
        <w:t>六</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、资格审查资料</w:t>
      </w:r>
      <w:bookmarkEnd w:id="148"/>
      <w:bookmarkEnd w:id="149"/>
      <w:bookmarkEnd w:id="150"/>
    </w:p>
    <w:p w14:paraId="0BAD7F06">
      <w:pPr>
        <w:spacing w:line="440" w:lineRule="exact"/>
        <w:ind w:firstLine="500" w:firstLineChars="250"/>
        <w:jc w:val="center"/>
        <w:rPr>
          <w:rFonts w:hint="eastAsia" w:asciiTheme="minorEastAsia" w:hAnsiTheme="minorEastAsia" w:eastAsiaTheme="minorEastAsia" w:cstheme="minorEastAsia"/>
          <w:color w:val="000000" w:themeColor="text1"/>
          <w:sz w:val="20"/>
          <w:szCs w:val="20"/>
          <w:highlight w:val="none"/>
          <w14:textFill>
            <w14:solidFill>
              <w14:schemeClr w14:val="tx1"/>
            </w14:solidFill>
          </w14:textFill>
        </w:rPr>
      </w:pPr>
    </w:p>
    <w:p w14:paraId="5F0E17D1">
      <w:pPr>
        <w:pStyle w:val="4"/>
        <w:keepNext w:val="0"/>
        <w:keepLines w:val="0"/>
        <w:pageBreakBefore w:val="0"/>
        <w:widowControl w:val="0"/>
        <w:kinsoku/>
        <w:wordWrap/>
        <w:overflowPunct/>
        <w:topLinePunct w:val="0"/>
        <w:autoSpaceDE/>
        <w:autoSpaceDN/>
        <w:bidi w:val="0"/>
        <w:adjustRightInd/>
        <w:snapToGrid/>
        <w:spacing w:before="0" w:line="360" w:lineRule="auto"/>
        <w:ind w:left="0"/>
        <w:jc w:val="center"/>
        <w:textAlignment w:val="auto"/>
        <w:outlineLvl w:val="2"/>
        <w:rPr>
          <w:rFonts w:hint="eastAsia" w:asciiTheme="minorEastAsia" w:hAnsiTheme="minorEastAsia" w:eastAsiaTheme="minorEastAsia" w:cstheme="minorEastAsia"/>
          <w:b/>
          <w:bCs/>
          <w:color w:val="000000" w:themeColor="text1"/>
          <w:sz w:val="24"/>
          <w:szCs w:val="24"/>
          <w:highlight w:val="none"/>
          <w:u w:val="none"/>
          <w14:textFill>
            <w14:solidFill>
              <w14:schemeClr w14:val="tx1"/>
            </w14:solidFill>
          </w14:textFill>
        </w:rPr>
      </w:pPr>
      <w:bookmarkStart w:id="153" w:name="_Toc437531090"/>
      <w:bookmarkStart w:id="154" w:name="_Toc26812"/>
      <w:bookmarkStart w:id="155" w:name="_Toc420868169"/>
      <w:bookmarkStart w:id="156" w:name="_Toc247514301"/>
      <w:bookmarkStart w:id="157" w:name="_Toc265953295"/>
      <w:bookmarkStart w:id="158" w:name="_Toc18577"/>
      <w:bookmarkStart w:id="159" w:name="_Toc144974877"/>
      <w:bookmarkStart w:id="160" w:name="_Toc152045809"/>
      <w:bookmarkStart w:id="161" w:name="_Toc30078"/>
      <w:bookmarkStart w:id="162" w:name="_Toc247527849"/>
      <w:bookmarkStart w:id="163" w:name="_Toc152042598"/>
      <w:bookmarkStart w:id="164" w:name="_Toc358846528"/>
      <w:r>
        <w:rPr>
          <w:rFonts w:hint="eastAsia" w:asciiTheme="minorEastAsia" w:hAnsiTheme="minorEastAsia" w:eastAsiaTheme="minorEastAsia" w:cstheme="minorEastAsia"/>
          <w:b/>
          <w:bCs/>
          <w:color w:val="000000" w:themeColor="text1"/>
          <w:sz w:val="24"/>
          <w:szCs w:val="24"/>
          <w:highlight w:val="none"/>
          <w:u w:val="none"/>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highlight w:val="none"/>
          <w:u w:val="none"/>
          <w:lang w:val="en-US" w:eastAsia="zh-CN"/>
          <w14:textFill>
            <w14:solidFill>
              <w14:schemeClr w14:val="tx1"/>
            </w14:solidFill>
          </w14:textFill>
        </w:rPr>
        <w:t>一</w:t>
      </w:r>
      <w:r>
        <w:rPr>
          <w:rFonts w:hint="eastAsia" w:asciiTheme="minorEastAsia" w:hAnsiTheme="minorEastAsia" w:eastAsiaTheme="minorEastAsia" w:cstheme="minorEastAsia"/>
          <w:b/>
          <w:bCs/>
          <w:color w:val="000000" w:themeColor="text1"/>
          <w:sz w:val="24"/>
          <w:szCs w:val="24"/>
          <w:highlight w:val="none"/>
          <w:u w:val="none"/>
          <w14:textFill>
            <w14:solidFill>
              <w14:schemeClr w14:val="tx1"/>
            </w14:solidFill>
          </w14:textFill>
        </w:rPr>
        <w:t>）近年财务状况表</w:t>
      </w:r>
      <w:bookmarkEnd w:id="153"/>
      <w:bookmarkEnd w:id="154"/>
      <w:bookmarkEnd w:id="155"/>
      <w:bookmarkEnd w:id="156"/>
      <w:bookmarkEnd w:id="157"/>
      <w:bookmarkEnd w:id="158"/>
      <w:bookmarkEnd w:id="159"/>
      <w:bookmarkEnd w:id="160"/>
      <w:bookmarkEnd w:id="161"/>
      <w:bookmarkEnd w:id="162"/>
      <w:bookmarkEnd w:id="163"/>
      <w:bookmarkEnd w:id="164"/>
    </w:p>
    <w:p w14:paraId="3DCD3059">
      <w:pPr>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3789F898">
      <w:pPr>
        <w:pStyle w:val="4"/>
        <w:keepNext w:val="0"/>
        <w:keepLines w:val="0"/>
        <w:pageBreakBefore w:val="0"/>
        <w:widowControl w:val="0"/>
        <w:kinsoku/>
        <w:wordWrap/>
        <w:overflowPunct/>
        <w:topLinePunct w:val="0"/>
        <w:autoSpaceDE/>
        <w:autoSpaceDN/>
        <w:bidi w:val="0"/>
        <w:adjustRightInd/>
        <w:snapToGrid/>
        <w:spacing w:before="0" w:line="360" w:lineRule="auto"/>
        <w:ind w:left="0"/>
        <w:jc w:val="center"/>
        <w:textAlignment w:val="auto"/>
        <w:outlineLvl w:val="2"/>
        <w:rPr>
          <w:rFonts w:hint="eastAsia" w:asciiTheme="minorEastAsia" w:hAnsiTheme="minorEastAsia" w:eastAsiaTheme="minorEastAsia" w:cstheme="minorEastAsia"/>
          <w:b/>
          <w:bCs/>
          <w:color w:val="000000" w:themeColor="text1"/>
          <w:sz w:val="24"/>
          <w:szCs w:val="24"/>
          <w:highlight w:val="none"/>
          <w:u w:val="none"/>
          <w14:textFill>
            <w14:solidFill>
              <w14:schemeClr w14:val="tx1"/>
            </w14:solidFill>
          </w14:textFill>
        </w:rPr>
      </w:pPr>
      <w:bookmarkStart w:id="165" w:name="_Toc152042599"/>
      <w:bookmarkStart w:id="166" w:name="_Toc358846529"/>
      <w:bookmarkStart w:id="167" w:name="_Toc420868170"/>
      <w:bookmarkStart w:id="168" w:name="_Toc247514302"/>
      <w:bookmarkStart w:id="169" w:name="_Toc144974878"/>
      <w:bookmarkStart w:id="170" w:name="_Toc247527850"/>
      <w:bookmarkStart w:id="171" w:name="_Toc152045810"/>
      <w:bookmarkStart w:id="172" w:name="_Toc437531091"/>
      <w:bookmarkStart w:id="173" w:name="_Toc24648"/>
      <w:bookmarkStart w:id="174" w:name="_Toc265953296"/>
      <w:r>
        <w:rPr>
          <w:rFonts w:hint="eastAsia" w:asciiTheme="minorEastAsia" w:hAnsiTheme="minorEastAsia" w:eastAsiaTheme="minorEastAsia" w:cstheme="minorEastAsia"/>
          <w:b w:val="0"/>
          <w:bCs w:val="0"/>
          <w:color w:val="000000" w:themeColor="text1"/>
          <w:kern w:val="2"/>
          <w:sz w:val="24"/>
          <w:szCs w:val="24"/>
          <w:highlight w:val="none"/>
          <w14:textFill>
            <w14:solidFill>
              <w14:schemeClr w14:val="tx1"/>
            </w14:solidFill>
          </w14:textFill>
        </w:rPr>
        <w:br w:type="page"/>
      </w:r>
      <w:bookmarkStart w:id="175" w:name="_Toc24849"/>
      <w:bookmarkStart w:id="176" w:name="_Toc21794"/>
      <w:r>
        <w:rPr>
          <w:rFonts w:hint="eastAsia" w:asciiTheme="minorEastAsia" w:hAnsiTheme="minorEastAsia" w:eastAsiaTheme="minorEastAsia" w:cstheme="minorEastAsia"/>
          <w:b/>
          <w:bCs/>
          <w:color w:val="000000" w:themeColor="text1"/>
          <w:sz w:val="24"/>
          <w:szCs w:val="24"/>
          <w:highlight w:val="none"/>
          <w:u w:val="none"/>
          <w14:textFill>
            <w14:solidFill>
              <w14:schemeClr w14:val="tx1"/>
            </w14:solidFill>
          </w14:textFill>
        </w:rPr>
        <w:t>（三）近年完成的类似项目情况表</w:t>
      </w:r>
      <w:bookmarkEnd w:id="165"/>
      <w:bookmarkEnd w:id="166"/>
      <w:bookmarkEnd w:id="167"/>
      <w:bookmarkEnd w:id="168"/>
      <w:bookmarkEnd w:id="169"/>
      <w:bookmarkEnd w:id="170"/>
      <w:bookmarkEnd w:id="171"/>
      <w:bookmarkEnd w:id="172"/>
      <w:bookmarkEnd w:id="173"/>
      <w:bookmarkEnd w:id="174"/>
      <w:bookmarkEnd w:id="175"/>
      <w:bookmarkEnd w:id="176"/>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05A19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noWrap w:val="0"/>
            <w:vAlign w:val="center"/>
          </w:tcPr>
          <w:p w14:paraId="220915F8">
            <w:pPr>
              <w:topLinePunct/>
              <w:spacing w:line="44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项目名称</w:t>
            </w:r>
          </w:p>
        </w:tc>
        <w:tc>
          <w:tcPr>
            <w:tcW w:w="6253" w:type="dxa"/>
            <w:noWrap w:val="0"/>
            <w:vAlign w:val="top"/>
          </w:tcPr>
          <w:p w14:paraId="2E35D5AE">
            <w:pPr>
              <w:topLinePunct/>
              <w:spacing w:line="440" w:lineRule="exac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r>
      <w:tr w14:paraId="231B0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69" w:type="dxa"/>
            <w:noWrap w:val="0"/>
            <w:vAlign w:val="center"/>
          </w:tcPr>
          <w:p w14:paraId="77DFA29D">
            <w:pPr>
              <w:topLinePunct/>
              <w:spacing w:line="44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采购人</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名称</w:t>
            </w:r>
          </w:p>
        </w:tc>
        <w:tc>
          <w:tcPr>
            <w:tcW w:w="6253" w:type="dxa"/>
            <w:noWrap w:val="0"/>
            <w:vAlign w:val="top"/>
          </w:tcPr>
          <w:p w14:paraId="1FDB5046">
            <w:pPr>
              <w:topLinePunct/>
              <w:spacing w:line="440" w:lineRule="exac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r>
      <w:tr w14:paraId="39EF4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69" w:type="dxa"/>
            <w:noWrap w:val="0"/>
            <w:vAlign w:val="center"/>
          </w:tcPr>
          <w:p w14:paraId="6DD0D0A5">
            <w:pPr>
              <w:topLinePunct/>
              <w:spacing w:line="44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合同价格</w:t>
            </w:r>
          </w:p>
        </w:tc>
        <w:tc>
          <w:tcPr>
            <w:tcW w:w="6253" w:type="dxa"/>
            <w:noWrap w:val="0"/>
            <w:vAlign w:val="top"/>
          </w:tcPr>
          <w:p w14:paraId="4F4CC1A4">
            <w:pPr>
              <w:topLinePunct/>
              <w:spacing w:line="440" w:lineRule="exac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r>
      <w:tr w14:paraId="6F04B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69" w:type="dxa"/>
            <w:noWrap w:val="0"/>
            <w:vAlign w:val="center"/>
          </w:tcPr>
          <w:p w14:paraId="0CF24C10">
            <w:pPr>
              <w:topLinePunct/>
              <w:spacing w:line="44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项目描述</w:t>
            </w:r>
          </w:p>
        </w:tc>
        <w:tc>
          <w:tcPr>
            <w:tcW w:w="6253" w:type="dxa"/>
            <w:noWrap w:val="0"/>
            <w:vAlign w:val="top"/>
          </w:tcPr>
          <w:p w14:paraId="34BB39DF">
            <w:pPr>
              <w:topLinePunct/>
              <w:spacing w:line="440" w:lineRule="exac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p w14:paraId="2A86347C">
            <w:pPr>
              <w:topLinePunct/>
              <w:spacing w:line="440" w:lineRule="exac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p w14:paraId="1C17E844">
            <w:pPr>
              <w:topLinePunct/>
              <w:spacing w:line="440" w:lineRule="exac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p w14:paraId="2BA301AD">
            <w:pPr>
              <w:topLinePunct/>
              <w:spacing w:line="440" w:lineRule="exac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p w14:paraId="3986FC4C">
            <w:pPr>
              <w:topLinePunct/>
              <w:spacing w:line="440" w:lineRule="exac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p w14:paraId="4B861F2E">
            <w:pPr>
              <w:topLinePunct/>
              <w:spacing w:line="440" w:lineRule="exac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p w14:paraId="57BDF79B">
            <w:pPr>
              <w:topLinePunct/>
              <w:spacing w:line="440" w:lineRule="exac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r>
      <w:tr w14:paraId="354BF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69" w:type="dxa"/>
            <w:noWrap w:val="0"/>
            <w:vAlign w:val="center"/>
          </w:tcPr>
          <w:p w14:paraId="53DC8791">
            <w:pPr>
              <w:topLinePunct/>
              <w:spacing w:line="44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备注</w:t>
            </w:r>
          </w:p>
        </w:tc>
        <w:tc>
          <w:tcPr>
            <w:tcW w:w="6253" w:type="dxa"/>
            <w:noWrap w:val="0"/>
            <w:vAlign w:val="top"/>
          </w:tcPr>
          <w:p w14:paraId="2E565589">
            <w:pPr>
              <w:topLinePunct/>
              <w:spacing w:line="440" w:lineRule="exac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r>
    </w:tbl>
    <w:p w14:paraId="19203CEC">
      <w:pPr>
        <w:spacing w:line="360" w:lineRule="auto"/>
        <w:ind w:firstLine="330" w:firstLineChars="15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p w14:paraId="481F311E">
      <w:pPr>
        <w:spacing w:line="360" w:lineRule="auto"/>
        <w:ind w:right="660" w:rightChars="30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注：附施工合同协议书</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等</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，具体年份要求见</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须知前附表。每张表格只填写一个项目，并标明序号。</w:t>
      </w:r>
      <w:r>
        <w:rPr>
          <w:rFonts w:hint="eastAsia" w:asciiTheme="minorEastAsia" w:hAnsiTheme="minorEastAsia" w:eastAsiaTheme="minorEastAsia" w:cstheme="minorEastAsia"/>
          <w:b w:val="0"/>
          <w:bCs w:val="0"/>
          <w:color w:val="000000" w:themeColor="text1"/>
          <w:kern w:val="0"/>
          <w:sz w:val="21"/>
          <w:szCs w:val="21"/>
          <w:highlight w:val="none"/>
          <w:lang w:val="en-US" w:eastAsia="zh-CN" w:bidi="ar-SA"/>
          <w14:textFill>
            <w14:solidFill>
              <w14:schemeClr w14:val="tx1"/>
            </w14:solidFill>
          </w14:textFill>
        </w:rPr>
        <w:t>以上所需附的文件需满足评标需求。</w:t>
      </w:r>
    </w:p>
    <w:p w14:paraId="6D5DBC98">
      <w:pPr>
        <w:pStyle w:val="42"/>
        <w:rPr>
          <w:rFonts w:hint="eastAsia" w:asciiTheme="minorEastAsia" w:hAnsiTheme="minorEastAsia" w:eastAsiaTheme="minorEastAsia" w:cstheme="minorEastAsia"/>
          <w:color w:val="000000" w:themeColor="text1"/>
          <w:sz w:val="23"/>
          <w:szCs w:val="23"/>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br w:type="page"/>
      </w:r>
    </w:p>
    <w:p w14:paraId="08DA749E">
      <w:pPr>
        <w:pStyle w:val="10"/>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pPr>
      <w:bookmarkStart w:id="177" w:name="_Toc20264"/>
      <w:r>
        <w:rPr>
          <w:rFonts w:hint="eastAsia" w:asciiTheme="minorEastAsia" w:hAnsiTheme="minorEastAsia" w:eastAsiaTheme="minorEastAsia" w:cstheme="minorEastAsia"/>
          <w:b/>
          <w:bCs/>
          <w:color w:val="000000" w:themeColor="text1"/>
          <w:sz w:val="28"/>
          <w:szCs w:val="28"/>
          <w:highlight w:val="none"/>
          <w:lang w:val="en-US" w:eastAsia="zh-CN"/>
          <w14:textFill>
            <w14:solidFill>
              <w14:schemeClr w14:val="tx1"/>
            </w14:solidFill>
          </w14:textFill>
        </w:rPr>
        <w:t>七</w:t>
      </w: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、其他材料</w:t>
      </w:r>
      <w:bookmarkEnd w:id="151"/>
      <w:bookmarkEnd w:id="152"/>
      <w:bookmarkEnd w:id="177"/>
    </w:p>
    <w:sectPr>
      <w:footerReference r:id="rId7" w:type="default"/>
      <w:pgSz w:w="12240" w:h="15840"/>
      <w:pgMar w:top="1440" w:right="1800" w:bottom="1440" w:left="1800" w:header="0" w:footer="1005" w:gutter="0"/>
      <w:pgBorders>
        <w:top w:val="none" w:sz="0" w:space="0"/>
        <w:left w:val="none" w:sz="0" w:space="0"/>
        <w:bottom w:val="none" w:sz="0" w:space="0"/>
        <w:right w:val="none" w:sz="0" w:space="0"/>
      </w:pgBorders>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FangSong_GB2312">
    <w:altName w:val="仿宋_GB2312"/>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9B407">
    <w:pPr>
      <w:spacing w:line="14" w:lineRule="auto"/>
      <w:rPr>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A0E506">
                          <w:pPr>
                            <w:pStyle w:val="17"/>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9ayf9yQEAAJoDAAAOAAAAAAAAAAEAIAAAAB4BAABkcnMvZTJvRG9j&#10;LnhtbFBLBQYAAAAABgAGAFkBAABZBQAAAAA=&#10;">
              <v:fill on="f" focussize="0,0"/>
              <v:stroke on="f"/>
              <v:imagedata o:title=""/>
              <o:lock v:ext="edit" aspectratio="f"/>
              <v:textbox inset="0mm,0mm,0mm,0mm" style="mso-fit-shape-to-text:t;">
                <w:txbxContent>
                  <w:p w14:paraId="1FA0E506">
                    <w:pPr>
                      <w:pStyle w:val="1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A23F9A">
    <w:pPr>
      <w:spacing w:line="14" w:lineRule="auto"/>
      <w:rPr>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4A7B85">
                          <w:pPr>
                            <w:pStyle w:val="17"/>
                          </w:pPr>
                          <w:r>
                            <w:fldChar w:fldCharType="begin"/>
                          </w:r>
                          <w:r>
                            <w:instrText xml:space="preserve"> PAGE  \* MERGEFORMAT </w:instrText>
                          </w:r>
                          <w:r>
                            <w:fldChar w:fldCharType="separate"/>
                          </w:r>
                          <w:r>
                            <w:t>8</w:t>
                          </w:r>
                          <w: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SnZIckBAACaAwAADgAAAGRycy9lMm9Eb2MueG1srVPNjtMwEL4j8Q6W&#10;79TZg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OUbShy3OPHzzx/nX3/Ov7+T&#10;11mfPkCNabcBE9Pw3g+4NbMf0JlpDyra/EVCBOOo7umirhwSEfnRarlaVRgSGJsviM/un4cI6YP0&#10;lmSjoRHHV1Tlx0+QxtQ5JVdz/kYbU0Zo3H8OxMwelnsfe8xWGnbDRGjn2xPy6XHyDXW46JSYjw6F&#10;zUsyG3E2drNxCFHvu7JFuR6Ed4eETZTecoURdiqMIyvspvXKO/HvvWTd/1Kb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ZKdkhyQEAAJoDAAAOAAAAAAAAAAEAIAAAAB4BAABkcnMvZTJvRG9j&#10;LnhtbFBLBQYAAAAABgAGAFkBAABZBQAAAAA=&#10;">
              <v:fill on="f" focussize="0,0"/>
              <v:stroke on="f"/>
              <v:imagedata o:title=""/>
              <o:lock v:ext="edit" aspectratio="f"/>
              <v:textbox inset="0mm,0mm,0mm,0mm" style="mso-fit-shape-to-text:t;">
                <w:txbxContent>
                  <w:p w14:paraId="134A7B85">
                    <w:pPr>
                      <w:pStyle w:val="17"/>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5B51E">
    <w:pPr>
      <w:spacing w:line="14" w:lineRule="auto"/>
      <w:rPr>
        <w:sz w:val="20"/>
        <w:szCs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A764E7A">
                          <w:pPr>
                            <w:pStyle w:val="17"/>
                          </w:pPr>
                          <w:r>
                            <w:fldChar w:fldCharType="begin"/>
                          </w:r>
                          <w:r>
                            <w:instrText xml:space="preserve"> PAGE  \* MERGEFORMAT </w:instrText>
                          </w:r>
                          <w:r>
                            <w:fldChar w:fldCharType="separate"/>
                          </w:r>
                          <w:r>
                            <w:t>60</w:t>
                          </w:r>
                          <w: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D6I8oBAACaAwAADgAAAGRycy9lMm9Eb2MueG1srVPNjtMwEL4j8Q6W&#10;79TZSqy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V1eU+K4xYmff/44//pz/v2d&#10;vM369AFqTLsPmJiGd37ArZn9gM5Me1DR5i8SIhhHdU8XdeWQiMiPVsvVqsKQwNh8QXz28DxESO+l&#10;tyQbDY04vqIqP36ENKbOKbma83famDJC4/5xIGb2sNz72GO20rAbJkI7356QT4+Tb6jDRafEfHAo&#10;bF6S2YizsZuNQ4h635UtyvUg3B4SNlF6yxVG2Kkwjqywm9Yr78Tje8l6+KU2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fD6I8oBAACaAwAADgAAAAAAAAABACAAAAAeAQAAZHJzL2Uyb0Rv&#10;Yy54bWxQSwUGAAAAAAYABgBZAQAAWgUAAAAA&#10;">
              <v:fill on="f" focussize="0,0"/>
              <v:stroke on="f"/>
              <v:imagedata o:title=""/>
              <o:lock v:ext="edit" aspectratio="f"/>
              <v:textbox inset="0mm,0mm,0mm,0mm" style="mso-fit-shape-to-text:t;">
                <w:txbxContent>
                  <w:p w14:paraId="0A764E7A">
                    <w:pPr>
                      <w:pStyle w:val="17"/>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A0D45">
    <w:pPr>
      <w:spacing w:line="14" w:lineRule="auto"/>
      <w:rPr>
        <w:sz w:val="20"/>
        <w:szCs w:val="20"/>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89CFF31">
                          <w:pPr>
                            <w:pStyle w:val="17"/>
                          </w:pPr>
                          <w:r>
                            <w:fldChar w:fldCharType="begin"/>
                          </w:r>
                          <w:r>
                            <w:instrText xml:space="preserve"> PAGE  \* MERGEFORMAT </w:instrText>
                          </w:r>
                          <w:r>
                            <w:fldChar w:fldCharType="separate"/>
                          </w:r>
                          <w:r>
                            <w:t>25</w:t>
                          </w:r>
                          <w: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PHOsiyQEAAJoDAAAOAAAAAAAAAAEAIAAAAB4BAABkcnMvZTJvRG9j&#10;LnhtbFBLBQYAAAAABgAGAFkBAABZBQAAAAA=&#10;">
              <v:fill on="f" focussize="0,0"/>
              <v:stroke on="f"/>
              <v:imagedata o:title=""/>
              <o:lock v:ext="edit" aspectratio="f"/>
              <v:textbox inset="0mm,0mm,0mm,0mm" style="mso-fit-shape-to-text:t;">
                <w:txbxContent>
                  <w:p w14:paraId="789CFF31">
                    <w:pPr>
                      <w:pStyle w:val="17"/>
                    </w:pPr>
                    <w:r>
                      <w:fldChar w:fldCharType="begin"/>
                    </w:r>
                    <w:r>
                      <w:instrText xml:space="preserve"> PAGE  \* MERGEFORMAT </w:instrText>
                    </w:r>
                    <w:r>
                      <w:fldChar w:fldCharType="separate"/>
                    </w:r>
                    <w:r>
                      <w:t>25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A36A8">
    <w:pPr>
      <w:pStyle w:val="18"/>
      <w:pBdr>
        <w:bottom w:val="none" w:color="auto" w:sz="0" w:space="1"/>
      </w:pBdr>
      <w:jc w:val="both"/>
      <w:rPr>
        <w:rFonts w:hint="eastAsia"/>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B99842"/>
    <w:multiLevelType w:val="singleLevel"/>
    <w:tmpl w:val="9DB99842"/>
    <w:lvl w:ilvl="0" w:tentative="0">
      <w:start w:val="2"/>
      <w:numFmt w:val="chineseCounting"/>
      <w:suff w:val="nothing"/>
      <w:lvlText w:val="%1、"/>
      <w:lvlJc w:val="left"/>
      <w:rPr>
        <w:rFonts w:hint="eastAsia"/>
      </w:rPr>
    </w:lvl>
  </w:abstractNum>
  <w:abstractNum w:abstractNumId="1">
    <w:nsid w:val="E0C85FE8"/>
    <w:multiLevelType w:val="singleLevel"/>
    <w:tmpl w:val="E0C85FE8"/>
    <w:lvl w:ilvl="0" w:tentative="0">
      <w:start w:val="1"/>
      <w:numFmt w:val="decimal"/>
      <w:suff w:val="nothing"/>
      <w:lvlText w:val="（%1）"/>
      <w:lvlJc w:val="left"/>
    </w:lvl>
  </w:abstractNum>
  <w:abstractNum w:abstractNumId="2">
    <w:nsid w:val="03A7461D"/>
    <w:multiLevelType w:val="multilevel"/>
    <w:tmpl w:val="03A7461D"/>
    <w:lvl w:ilvl="0" w:tentative="0">
      <w:start w:val="1"/>
      <w:numFmt w:val="lowerLetter"/>
      <w:lvlText w:val="%1)"/>
      <w:lvlJc w:val="left"/>
      <w:pPr>
        <w:tabs>
          <w:tab w:val="left" w:pos="900"/>
        </w:tabs>
        <w:ind w:left="900" w:hanging="420"/>
      </w:pPr>
    </w:lvl>
    <w:lvl w:ilvl="1" w:tentative="0">
      <w:start w:val="1"/>
      <w:numFmt w:val="decimal"/>
      <w:lvlText w:val="（%2）"/>
      <w:lvlJc w:val="left"/>
      <w:pPr>
        <w:tabs>
          <w:tab w:val="left" w:pos="1620"/>
        </w:tabs>
        <w:ind w:left="1620" w:hanging="720"/>
      </w:pPr>
      <w:rPr>
        <w:rFonts w:hint="default"/>
        <w:lang w:val="en-US"/>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
    <w:nsid w:val="0AFE76A1"/>
    <w:multiLevelType w:val="multilevel"/>
    <w:tmpl w:val="0AFE76A1"/>
    <w:lvl w:ilvl="0" w:tentative="0">
      <w:start w:val="1"/>
      <w:numFmt w:val="bullet"/>
      <w:lvlText w:val=""/>
      <w:lvlJc w:val="left"/>
      <w:pPr>
        <w:ind w:left="1620" w:hanging="420"/>
      </w:pPr>
      <w:rPr>
        <w:rFonts w:hint="default" w:ascii="Wingdings" w:hAnsi="Wingdings"/>
      </w:rPr>
    </w:lvl>
    <w:lvl w:ilvl="1" w:tentative="0">
      <w:start w:val="1"/>
      <w:numFmt w:val="bullet"/>
      <w:lvlText w:val=""/>
      <w:lvlJc w:val="left"/>
      <w:pPr>
        <w:ind w:left="2040" w:hanging="420"/>
      </w:pPr>
      <w:rPr>
        <w:rFonts w:hint="default" w:ascii="Wingdings" w:hAnsi="Wingdings"/>
      </w:rPr>
    </w:lvl>
    <w:lvl w:ilvl="2" w:tentative="0">
      <w:start w:val="1"/>
      <w:numFmt w:val="bullet"/>
      <w:lvlText w:val=""/>
      <w:lvlJc w:val="left"/>
      <w:pPr>
        <w:ind w:left="2460" w:hanging="420"/>
      </w:pPr>
      <w:rPr>
        <w:rFonts w:hint="default" w:ascii="Wingdings" w:hAnsi="Wingdings"/>
      </w:rPr>
    </w:lvl>
    <w:lvl w:ilvl="3" w:tentative="0">
      <w:start w:val="1"/>
      <w:numFmt w:val="bullet"/>
      <w:lvlText w:val=""/>
      <w:lvlJc w:val="left"/>
      <w:pPr>
        <w:ind w:left="2880" w:hanging="420"/>
      </w:pPr>
      <w:rPr>
        <w:rFonts w:hint="default" w:ascii="Wingdings" w:hAnsi="Wingdings"/>
      </w:rPr>
    </w:lvl>
    <w:lvl w:ilvl="4" w:tentative="0">
      <w:start w:val="1"/>
      <w:numFmt w:val="bullet"/>
      <w:lvlText w:val=""/>
      <w:lvlJc w:val="left"/>
      <w:pPr>
        <w:ind w:left="3300" w:hanging="420"/>
      </w:pPr>
      <w:rPr>
        <w:rFonts w:hint="default" w:ascii="Wingdings" w:hAnsi="Wingdings"/>
      </w:rPr>
    </w:lvl>
    <w:lvl w:ilvl="5" w:tentative="0">
      <w:start w:val="1"/>
      <w:numFmt w:val="bullet"/>
      <w:lvlText w:val=""/>
      <w:lvlJc w:val="left"/>
      <w:pPr>
        <w:ind w:left="3720" w:hanging="420"/>
      </w:pPr>
      <w:rPr>
        <w:rFonts w:hint="default" w:ascii="Wingdings" w:hAnsi="Wingdings"/>
      </w:rPr>
    </w:lvl>
    <w:lvl w:ilvl="6" w:tentative="0">
      <w:start w:val="1"/>
      <w:numFmt w:val="bullet"/>
      <w:lvlText w:val=""/>
      <w:lvlJc w:val="left"/>
      <w:pPr>
        <w:ind w:left="4140" w:hanging="420"/>
      </w:pPr>
      <w:rPr>
        <w:rFonts w:hint="default" w:ascii="Wingdings" w:hAnsi="Wingdings"/>
      </w:rPr>
    </w:lvl>
    <w:lvl w:ilvl="7" w:tentative="0">
      <w:start w:val="1"/>
      <w:numFmt w:val="bullet"/>
      <w:lvlText w:val=""/>
      <w:lvlJc w:val="left"/>
      <w:pPr>
        <w:ind w:left="4560" w:hanging="420"/>
      </w:pPr>
      <w:rPr>
        <w:rFonts w:hint="default" w:ascii="Wingdings" w:hAnsi="Wingdings"/>
      </w:rPr>
    </w:lvl>
    <w:lvl w:ilvl="8" w:tentative="0">
      <w:start w:val="1"/>
      <w:numFmt w:val="bullet"/>
      <w:lvlText w:val=""/>
      <w:lvlJc w:val="left"/>
      <w:pPr>
        <w:ind w:left="4980" w:hanging="420"/>
      </w:pPr>
      <w:rPr>
        <w:rFonts w:hint="default" w:ascii="Wingdings" w:hAnsi="Wingdings"/>
      </w:rPr>
    </w:lvl>
  </w:abstractNum>
  <w:abstractNum w:abstractNumId="4">
    <w:nsid w:val="25003ACC"/>
    <w:multiLevelType w:val="multilevel"/>
    <w:tmpl w:val="25003ACC"/>
    <w:lvl w:ilvl="0" w:tentative="0">
      <w:start w:val="1"/>
      <w:numFmt w:val="decimal"/>
      <w:lvlText w:val="%1)"/>
      <w:lvlJc w:val="left"/>
      <w:pPr>
        <w:ind w:left="846" w:hanging="420"/>
      </w:pPr>
      <w:rPr>
        <w:rFonts w:hint="default"/>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5">
    <w:nsid w:val="34F46F61"/>
    <w:multiLevelType w:val="singleLevel"/>
    <w:tmpl w:val="34F46F61"/>
    <w:lvl w:ilvl="0" w:tentative="0">
      <w:start w:val="14"/>
      <w:numFmt w:val="decimal"/>
      <w:lvlText w:val="%1."/>
      <w:lvlJc w:val="left"/>
      <w:pPr>
        <w:tabs>
          <w:tab w:val="left" w:pos="312"/>
        </w:tabs>
      </w:pPr>
    </w:lvl>
  </w:abstractNum>
  <w:abstractNum w:abstractNumId="6">
    <w:nsid w:val="4CE81654"/>
    <w:multiLevelType w:val="multilevel"/>
    <w:tmpl w:val="4CE81654"/>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66982567"/>
    <w:multiLevelType w:val="singleLevel"/>
    <w:tmpl w:val="66982567"/>
    <w:lvl w:ilvl="0" w:tentative="0">
      <w:start w:val="1"/>
      <w:numFmt w:val="decimal"/>
      <w:suff w:val="nothing"/>
      <w:lvlText w:val="%1、"/>
      <w:lvlJc w:val="left"/>
    </w:lvl>
  </w:abstractNum>
  <w:abstractNum w:abstractNumId="8">
    <w:nsid w:val="72F60AA4"/>
    <w:multiLevelType w:val="multilevel"/>
    <w:tmpl w:val="72F60AA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7FBD4F05"/>
    <w:multiLevelType w:val="multilevel"/>
    <w:tmpl w:val="7FBD4F05"/>
    <w:lvl w:ilvl="0" w:tentative="0">
      <w:start w:val="3"/>
      <w:numFmt w:val="decimal"/>
      <w:lvlText w:val="%1"/>
      <w:lvlJc w:val="left"/>
      <w:pPr>
        <w:ind w:left="360" w:hanging="360"/>
      </w:pPr>
      <w:rPr>
        <w:rFonts w:hint="default"/>
      </w:rPr>
    </w:lvl>
    <w:lvl w:ilvl="1" w:tentative="0">
      <w:start w:val="1"/>
      <w:numFmt w:val="decimal"/>
      <w:lvlText w:val="%1.%2"/>
      <w:lvlJc w:val="left"/>
      <w:pPr>
        <w:ind w:left="780" w:hanging="360"/>
      </w:pPr>
      <w:rPr>
        <w:rFonts w:hint="default"/>
      </w:rPr>
    </w:lvl>
    <w:lvl w:ilvl="2" w:tentative="0">
      <w:start w:val="1"/>
      <w:numFmt w:val="decimal"/>
      <w:lvlText w:val="%1.%2.%3"/>
      <w:lvlJc w:val="left"/>
      <w:pPr>
        <w:ind w:left="1560" w:hanging="720"/>
      </w:pPr>
      <w:rPr>
        <w:rFonts w:hint="default"/>
      </w:rPr>
    </w:lvl>
    <w:lvl w:ilvl="3" w:tentative="0">
      <w:start w:val="1"/>
      <w:numFmt w:val="decimal"/>
      <w:lvlText w:val="%1.%2.%3.%4"/>
      <w:lvlJc w:val="left"/>
      <w:pPr>
        <w:ind w:left="2340" w:hanging="1080"/>
      </w:pPr>
      <w:rPr>
        <w:rFonts w:hint="default"/>
      </w:rPr>
    </w:lvl>
    <w:lvl w:ilvl="4" w:tentative="0">
      <w:start w:val="1"/>
      <w:numFmt w:val="decimal"/>
      <w:lvlText w:val="%1.%2.%3.%4.%5"/>
      <w:lvlJc w:val="left"/>
      <w:pPr>
        <w:ind w:left="2760" w:hanging="1080"/>
      </w:pPr>
      <w:rPr>
        <w:rFonts w:hint="default"/>
      </w:rPr>
    </w:lvl>
    <w:lvl w:ilvl="5" w:tentative="0">
      <w:start w:val="1"/>
      <w:numFmt w:val="decimal"/>
      <w:lvlText w:val="%1.%2.%3.%4.%5.%6"/>
      <w:lvlJc w:val="left"/>
      <w:pPr>
        <w:ind w:left="3540" w:hanging="1440"/>
      </w:pPr>
      <w:rPr>
        <w:rFonts w:hint="default"/>
      </w:rPr>
    </w:lvl>
    <w:lvl w:ilvl="6" w:tentative="0">
      <w:start w:val="1"/>
      <w:numFmt w:val="decimal"/>
      <w:lvlText w:val="%1.%2.%3.%4.%5.%6.%7"/>
      <w:lvlJc w:val="left"/>
      <w:pPr>
        <w:ind w:left="4320" w:hanging="1800"/>
      </w:pPr>
      <w:rPr>
        <w:rFonts w:hint="default"/>
      </w:rPr>
    </w:lvl>
    <w:lvl w:ilvl="7" w:tentative="0">
      <w:start w:val="1"/>
      <w:numFmt w:val="decimal"/>
      <w:lvlText w:val="%1.%2.%3.%4.%5.%6.%7.%8"/>
      <w:lvlJc w:val="left"/>
      <w:pPr>
        <w:ind w:left="4740" w:hanging="1800"/>
      </w:pPr>
      <w:rPr>
        <w:rFonts w:hint="default"/>
      </w:rPr>
    </w:lvl>
    <w:lvl w:ilvl="8" w:tentative="0">
      <w:start w:val="1"/>
      <w:numFmt w:val="decimal"/>
      <w:lvlText w:val="%1.%2.%3.%4.%5.%6.%7.%8.%9"/>
      <w:lvlJc w:val="left"/>
      <w:pPr>
        <w:ind w:left="5520" w:hanging="2160"/>
      </w:pPr>
      <w:rPr>
        <w:rFonts w:hint="default"/>
      </w:rPr>
    </w:lvl>
  </w:abstractNum>
  <w:num w:numId="1">
    <w:abstractNumId w:val="7"/>
  </w:num>
  <w:num w:numId="2">
    <w:abstractNumId w:val="0"/>
  </w:num>
  <w:num w:numId="3">
    <w:abstractNumId w:val="5"/>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4"/>
  </w:num>
  <w:num w:numId="8">
    <w:abstractNumId w:val="8"/>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yZGRlNmViNmZjMTUxNjhiZTgyZmY0YTMzNjkzYTkifQ=="/>
  </w:docVars>
  <w:rsids>
    <w:rsidRoot w:val="00350E72"/>
    <w:rsid w:val="00126B0F"/>
    <w:rsid w:val="001516BF"/>
    <w:rsid w:val="00174EC7"/>
    <w:rsid w:val="002F2241"/>
    <w:rsid w:val="00350E72"/>
    <w:rsid w:val="004475FE"/>
    <w:rsid w:val="00591504"/>
    <w:rsid w:val="00655046"/>
    <w:rsid w:val="00855199"/>
    <w:rsid w:val="00925185"/>
    <w:rsid w:val="00A26879"/>
    <w:rsid w:val="00AE2641"/>
    <w:rsid w:val="00AF6BF3"/>
    <w:rsid w:val="00B52690"/>
    <w:rsid w:val="00BD2676"/>
    <w:rsid w:val="00E36535"/>
    <w:rsid w:val="00E67D97"/>
    <w:rsid w:val="00EA6A19"/>
    <w:rsid w:val="00FF790E"/>
    <w:rsid w:val="010455BC"/>
    <w:rsid w:val="0156346F"/>
    <w:rsid w:val="01774AB7"/>
    <w:rsid w:val="0199148C"/>
    <w:rsid w:val="01E178F6"/>
    <w:rsid w:val="0214018A"/>
    <w:rsid w:val="024973AB"/>
    <w:rsid w:val="0256504D"/>
    <w:rsid w:val="02640B5D"/>
    <w:rsid w:val="02665FD2"/>
    <w:rsid w:val="027010C7"/>
    <w:rsid w:val="02E271A6"/>
    <w:rsid w:val="030908D5"/>
    <w:rsid w:val="031C481B"/>
    <w:rsid w:val="03310FA8"/>
    <w:rsid w:val="033D6DB6"/>
    <w:rsid w:val="03471F01"/>
    <w:rsid w:val="035116C0"/>
    <w:rsid w:val="03681C3C"/>
    <w:rsid w:val="03B7227C"/>
    <w:rsid w:val="03C342FE"/>
    <w:rsid w:val="04640655"/>
    <w:rsid w:val="04A546FC"/>
    <w:rsid w:val="04C21812"/>
    <w:rsid w:val="04F72043"/>
    <w:rsid w:val="05700BD0"/>
    <w:rsid w:val="058501D8"/>
    <w:rsid w:val="05D80394"/>
    <w:rsid w:val="064F4820"/>
    <w:rsid w:val="06753CE2"/>
    <w:rsid w:val="06C61153"/>
    <w:rsid w:val="07271A49"/>
    <w:rsid w:val="075C556E"/>
    <w:rsid w:val="076E1CFC"/>
    <w:rsid w:val="07767674"/>
    <w:rsid w:val="0778628F"/>
    <w:rsid w:val="07E85655"/>
    <w:rsid w:val="080F7066"/>
    <w:rsid w:val="081256FB"/>
    <w:rsid w:val="085C1C61"/>
    <w:rsid w:val="087E1305"/>
    <w:rsid w:val="08A00A2D"/>
    <w:rsid w:val="08D6430E"/>
    <w:rsid w:val="08FC2723"/>
    <w:rsid w:val="094E5D58"/>
    <w:rsid w:val="09B449E0"/>
    <w:rsid w:val="09E01D3D"/>
    <w:rsid w:val="0A310CC7"/>
    <w:rsid w:val="0A4C17EA"/>
    <w:rsid w:val="0A8346AB"/>
    <w:rsid w:val="0A840B51"/>
    <w:rsid w:val="0B696551"/>
    <w:rsid w:val="0BBF6171"/>
    <w:rsid w:val="0BC350DF"/>
    <w:rsid w:val="0C1B2E2C"/>
    <w:rsid w:val="0C985340"/>
    <w:rsid w:val="0CB24163"/>
    <w:rsid w:val="0CCE0D62"/>
    <w:rsid w:val="0CD676F7"/>
    <w:rsid w:val="0DA13A63"/>
    <w:rsid w:val="0E71409B"/>
    <w:rsid w:val="0EAF428B"/>
    <w:rsid w:val="0F2F3BD2"/>
    <w:rsid w:val="0F3964C7"/>
    <w:rsid w:val="0F437B1F"/>
    <w:rsid w:val="0F5834D6"/>
    <w:rsid w:val="0FCA1258"/>
    <w:rsid w:val="0FE22AF4"/>
    <w:rsid w:val="0FFC3E38"/>
    <w:rsid w:val="10094C61"/>
    <w:rsid w:val="10905CAB"/>
    <w:rsid w:val="10B84804"/>
    <w:rsid w:val="10BE5473"/>
    <w:rsid w:val="10C1473A"/>
    <w:rsid w:val="111365AF"/>
    <w:rsid w:val="111A3E9A"/>
    <w:rsid w:val="113E2965"/>
    <w:rsid w:val="11430552"/>
    <w:rsid w:val="11726817"/>
    <w:rsid w:val="11751CB9"/>
    <w:rsid w:val="11C12C43"/>
    <w:rsid w:val="11D438E1"/>
    <w:rsid w:val="11E46932"/>
    <w:rsid w:val="12493C47"/>
    <w:rsid w:val="124A0568"/>
    <w:rsid w:val="125B526D"/>
    <w:rsid w:val="12B752CE"/>
    <w:rsid w:val="12C1660B"/>
    <w:rsid w:val="12DB5F87"/>
    <w:rsid w:val="130152C1"/>
    <w:rsid w:val="13037810"/>
    <w:rsid w:val="13781634"/>
    <w:rsid w:val="137E63FC"/>
    <w:rsid w:val="13A04ADA"/>
    <w:rsid w:val="13E642EC"/>
    <w:rsid w:val="13E97CF7"/>
    <w:rsid w:val="13EF59CF"/>
    <w:rsid w:val="13FE3AB5"/>
    <w:rsid w:val="14287BC8"/>
    <w:rsid w:val="142D6CE7"/>
    <w:rsid w:val="146B50D7"/>
    <w:rsid w:val="149029FC"/>
    <w:rsid w:val="150F52C3"/>
    <w:rsid w:val="15143B1C"/>
    <w:rsid w:val="15363948"/>
    <w:rsid w:val="155F5FF6"/>
    <w:rsid w:val="158F138D"/>
    <w:rsid w:val="15D849FF"/>
    <w:rsid w:val="15F71D8F"/>
    <w:rsid w:val="15FB7CC9"/>
    <w:rsid w:val="15FF01DE"/>
    <w:rsid w:val="163A00C4"/>
    <w:rsid w:val="16595F00"/>
    <w:rsid w:val="168D0FBE"/>
    <w:rsid w:val="16A856ED"/>
    <w:rsid w:val="16D92F1C"/>
    <w:rsid w:val="17032494"/>
    <w:rsid w:val="17295B48"/>
    <w:rsid w:val="173B0419"/>
    <w:rsid w:val="17622F0D"/>
    <w:rsid w:val="17652598"/>
    <w:rsid w:val="17BD28A2"/>
    <w:rsid w:val="17D15E1A"/>
    <w:rsid w:val="1808231B"/>
    <w:rsid w:val="184C3483"/>
    <w:rsid w:val="186E164B"/>
    <w:rsid w:val="18C43C4A"/>
    <w:rsid w:val="18CC6901"/>
    <w:rsid w:val="190A3122"/>
    <w:rsid w:val="19422A9F"/>
    <w:rsid w:val="195645B9"/>
    <w:rsid w:val="196C5B8A"/>
    <w:rsid w:val="19836A30"/>
    <w:rsid w:val="19912793"/>
    <w:rsid w:val="1A5572CF"/>
    <w:rsid w:val="1A9F38D2"/>
    <w:rsid w:val="1AB27386"/>
    <w:rsid w:val="1B1F6C2C"/>
    <w:rsid w:val="1B421532"/>
    <w:rsid w:val="1B45479B"/>
    <w:rsid w:val="1B5C578B"/>
    <w:rsid w:val="1B8B20E5"/>
    <w:rsid w:val="1B8E67DD"/>
    <w:rsid w:val="1BA07746"/>
    <w:rsid w:val="1BD50896"/>
    <w:rsid w:val="1BE1112B"/>
    <w:rsid w:val="1C027428"/>
    <w:rsid w:val="1C8036FB"/>
    <w:rsid w:val="1C8E5507"/>
    <w:rsid w:val="1D0E68F9"/>
    <w:rsid w:val="1D6848BB"/>
    <w:rsid w:val="1D7C3EC2"/>
    <w:rsid w:val="1D7FE31B"/>
    <w:rsid w:val="1DA12814"/>
    <w:rsid w:val="1E0578BA"/>
    <w:rsid w:val="1E480248"/>
    <w:rsid w:val="1E8C3F57"/>
    <w:rsid w:val="1EE305EF"/>
    <w:rsid w:val="1F0B7BF4"/>
    <w:rsid w:val="1F7B5A5B"/>
    <w:rsid w:val="1FBD580D"/>
    <w:rsid w:val="20150667"/>
    <w:rsid w:val="20254CE5"/>
    <w:rsid w:val="203435EA"/>
    <w:rsid w:val="203E7257"/>
    <w:rsid w:val="204A02A8"/>
    <w:rsid w:val="20A52C7E"/>
    <w:rsid w:val="210554DB"/>
    <w:rsid w:val="2110329F"/>
    <w:rsid w:val="212F65F3"/>
    <w:rsid w:val="219B626A"/>
    <w:rsid w:val="219D74E3"/>
    <w:rsid w:val="21CB65F5"/>
    <w:rsid w:val="21DF6679"/>
    <w:rsid w:val="2213420F"/>
    <w:rsid w:val="22515353"/>
    <w:rsid w:val="22C8518E"/>
    <w:rsid w:val="231A3861"/>
    <w:rsid w:val="231D3805"/>
    <w:rsid w:val="23936E36"/>
    <w:rsid w:val="23C82CF4"/>
    <w:rsid w:val="23E32EED"/>
    <w:rsid w:val="24045985"/>
    <w:rsid w:val="24521714"/>
    <w:rsid w:val="2459737D"/>
    <w:rsid w:val="247E78BB"/>
    <w:rsid w:val="24827899"/>
    <w:rsid w:val="24B666A3"/>
    <w:rsid w:val="24BD5534"/>
    <w:rsid w:val="24C47270"/>
    <w:rsid w:val="24D502C6"/>
    <w:rsid w:val="24E86910"/>
    <w:rsid w:val="253858C2"/>
    <w:rsid w:val="25924B44"/>
    <w:rsid w:val="25A63732"/>
    <w:rsid w:val="25C60ECD"/>
    <w:rsid w:val="25CF62EC"/>
    <w:rsid w:val="25E8708D"/>
    <w:rsid w:val="25FC1FBE"/>
    <w:rsid w:val="25FC750C"/>
    <w:rsid w:val="261B4106"/>
    <w:rsid w:val="2623391D"/>
    <w:rsid w:val="262C2C59"/>
    <w:rsid w:val="26304815"/>
    <w:rsid w:val="268052CD"/>
    <w:rsid w:val="26A76FBA"/>
    <w:rsid w:val="2757449D"/>
    <w:rsid w:val="27BB4E1D"/>
    <w:rsid w:val="27D55B5B"/>
    <w:rsid w:val="28E30E68"/>
    <w:rsid w:val="29541EC3"/>
    <w:rsid w:val="2A114857"/>
    <w:rsid w:val="2A1262DA"/>
    <w:rsid w:val="2A1346CF"/>
    <w:rsid w:val="2A281F53"/>
    <w:rsid w:val="2A443FBA"/>
    <w:rsid w:val="2A663F30"/>
    <w:rsid w:val="2A81026C"/>
    <w:rsid w:val="2A9D36CA"/>
    <w:rsid w:val="2AAB62C7"/>
    <w:rsid w:val="2ABD58B6"/>
    <w:rsid w:val="2B3C7BC2"/>
    <w:rsid w:val="2B597734"/>
    <w:rsid w:val="2BA932C8"/>
    <w:rsid w:val="2BB6474C"/>
    <w:rsid w:val="2C3A7FB7"/>
    <w:rsid w:val="2C447C72"/>
    <w:rsid w:val="2C6B68D6"/>
    <w:rsid w:val="2D1C2188"/>
    <w:rsid w:val="2D2F2CFF"/>
    <w:rsid w:val="2D940EBD"/>
    <w:rsid w:val="2DB20344"/>
    <w:rsid w:val="2E442BE3"/>
    <w:rsid w:val="2E7D3DFD"/>
    <w:rsid w:val="2F0C15E5"/>
    <w:rsid w:val="2F204FF5"/>
    <w:rsid w:val="2F3037B6"/>
    <w:rsid w:val="2F7753A4"/>
    <w:rsid w:val="2FEBE457"/>
    <w:rsid w:val="30241E5B"/>
    <w:rsid w:val="30271695"/>
    <w:rsid w:val="30BA044C"/>
    <w:rsid w:val="310821E5"/>
    <w:rsid w:val="310E568A"/>
    <w:rsid w:val="31366C0F"/>
    <w:rsid w:val="31593F69"/>
    <w:rsid w:val="31E3055C"/>
    <w:rsid w:val="31ED47A6"/>
    <w:rsid w:val="32487C3A"/>
    <w:rsid w:val="3255039F"/>
    <w:rsid w:val="32F4163F"/>
    <w:rsid w:val="332826D0"/>
    <w:rsid w:val="3362471D"/>
    <w:rsid w:val="33870019"/>
    <w:rsid w:val="33B26438"/>
    <w:rsid w:val="33C63C91"/>
    <w:rsid w:val="33C97324"/>
    <w:rsid w:val="33ED7470"/>
    <w:rsid w:val="33FE342B"/>
    <w:rsid w:val="340A14F1"/>
    <w:rsid w:val="34260E4C"/>
    <w:rsid w:val="345F705D"/>
    <w:rsid w:val="347D79F9"/>
    <w:rsid w:val="34CE1050"/>
    <w:rsid w:val="352E24C4"/>
    <w:rsid w:val="356910D3"/>
    <w:rsid w:val="35990303"/>
    <w:rsid w:val="35C66F06"/>
    <w:rsid w:val="362C3803"/>
    <w:rsid w:val="363B0538"/>
    <w:rsid w:val="36533BE6"/>
    <w:rsid w:val="36726114"/>
    <w:rsid w:val="367461D1"/>
    <w:rsid w:val="36963A6D"/>
    <w:rsid w:val="36B50719"/>
    <w:rsid w:val="36C1747C"/>
    <w:rsid w:val="37166CDE"/>
    <w:rsid w:val="375E299C"/>
    <w:rsid w:val="376B702A"/>
    <w:rsid w:val="37B878D7"/>
    <w:rsid w:val="37F107C7"/>
    <w:rsid w:val="37FA5BF1"/>
    <w:rsid w:val="37FD57CF"/>
    <w:rsid w:val="3800518E"/>
    <w:rsid w:val="381E5E4A"/>
    <w:rsid w:val="387C0C32"/>
    <w:rsid w:val="38B92408"/>
    <w:rsid w:val="38BF1443"/>
    <w:rsid w:val="38EF6F5E"/>
    <w:rsid w:val="395F7C31"/>
    <w:rsid w:val="39CB4692"/>
    <w:rsid w:val="39D0586A"/>
    <w:rsid w:val="3A0B0650"/>
    <w:rsid w:val="3A184270"/>
    <w:rsid w:val="3A2255CA"/>
    <w:rsid w:val="3A251F1C"/>
    <w:rsid w:val="3A81171F"/>
    <w:rsid w:val="3ABE3DC6"/>
    <w:rsid w:val="3B152347"/>
    <w:rsid w:val="3B1F2605"/>
    <w:rsid w:val="3B5C71E1"/>
    <w:rsid w:val="3B6F6250"/>
    <w:rsid w:val="3B783AC3"/>
    <w:rsid w:val="3B842F6A"/>
    <w:rsid w:val="3BA71E9A"/>
    <w:rsid w:val="3BBA5124"/>
    <w:rsid w:val="3C0D06AF"/>
    <w:rsid w:val="3C3A36DF"/>
    <w:rsid w:val="3C3E2F5F"/>
    <w:rsid w:val="3C635FA0"/>
    <w:rsid w:val="3CA820DF"/>
    <w:rsid w:val="3D0C6BB9"/>
    <w:rsid w:val="3D140A19"/>
    <w:rsid w:val="3D3D684F"/>
    <w:rsid w:val="3D7674FF"/>
    <w:rsid w:val="3D962926"/>
    <w:rsid w:val="3E244EE5"/>
    <w:rsid w:val="3E41226B"/>
    <w:rsid w:val="3F0C207F"/>
    <w:rsid w:val="3F3226CD"/>
    <w:rsid w:val="3F3837B7"/>
    <w:rsid w:val="3F3F528B"/>
    <w:rsid w:val="3F7C26D1"/>
    <w:rsid w:val="3FAC6431"/>
    <w:rsid w:val="3FC67A53"/>
    <w:rsid w:val="3FCA312E"/>
    <w:rsid w:val="3FE30D06"/>
    <w:rsid w:val="3FFBD2AC"/>
    <w:rsid w:val="402C0728"/>
    <w:rsid w:val="403B0D6D"/>
    <w:rsid w:val="40532822"/>
    <w:rsid w:val="405E686E"/>
    <w:rsid w:val="40635230"/>
    <w:rsid w:val="40674696"/>
    <w:rsid w:val="408127F5"/>
    <w:rsid w:val="40880C4C"/>
    <w:rsid w:val="409315E9"/>
    <w:rsid w:val="40CB045E"/>
    <w:rsid w:val="40D96397"/>
    <w:rsid w:val="41076015"/>
    <w:rsid w:val="410B53D9"/>
    <w:rsid w:val="414765A5"/>
    <w:rsid w:val="41532AFA"/>
    <w:rsid w:val="4194717D"/>
    <w:rsid w:val="42386A6B"/>
    <w:rsid w:val="423B687D"/>
    <w:rsid w:val="426052B1"/>
    <w:rsid w:val="42787FB7"/>
    <w:rsid w:val="429C453B"/>
    <w:rsid w:val="42A054DF"/>
    <w:rsid w:val="437B05A6"/>
    <w:rsid w:val="43B753A5"/>
    <w:rsid w:val="43FB710C"/>
    <w:rsid w:val="444643BC"/>
    <w:rsid w:val="447A0157"/>
    <w:rsid w:val="44993E70"/>
    <w:rsid w:val="44AB4F09"/>
    <w:rsid w:val="45144140"/>
    <w:rsid w:val="45421183"/>
    <w:rsid w:val="45487F37"/>
    <w:rsid w:val="45717F01"/>
    <w:rsid w:val="457E2FEE"/>
    <w:rsid w:val="459C1EDC"/>
    <w:rsid w:val="459D225D"/>
    <w:rsid w:val="45D54CAF"/>
    <w:rsid w:val="45F91CA4"/>
    <w:rsid w:val="46742CCD"/>
    <w:rsid w:val="471A73FD"/>
    <w:rsid w:val="475B7D97"/>
    <w:rsid w:val="476C6F5E"/>
    <w:rsid w:val="47F07E0A"/>
    <w:rsid w:val="47F70B7B"/>
    <w:rsid w:val="480F3192"/>
    <w:rsid w:val="481303CD"/>
    <w:rsid w:val="482D31C0"/>
    <w:rsid w:val="48625EBE"/>
    <w:rsid w:val="487A1ED9"/>
    <w:rsid w:val="48863B54"/>
    <w:rsid w:val="48C21B18"/>
    <w:rsid w:val="49026728"/>
    <w:rsid w:val="4919414F"/>
    <w:rsid w:val="493E12EA"/>
    <w:rsid w:val="494456F3"/>
    <w:rsid w:val="49691456"/>
    <w:rsid w:val="49765FAF"/>
    <w:rsid w:val="49A41D54"/>
    <w:rsid w:val="49E44AB6"/>
    <w:rsid w:val="4A2950B5"/>
    <w:rsid w:val="4A4E0354"/>
    <w:rsid w:val="4A583D3C"/>
    <w:rsid w:val="4AC544BB"/>
    <w:rsid w:val="4AF71AEE"/>
    <w:rsid w:val="4B500D7D"/>
    <w:rsid w:val="4B9D6E20"/>
    <w:rsid w:val="4BC31BD4"/>
    <w:rsid w:val="4BE17463"/>
    <w:rsid w:val="4BEE7667"/>
    <w:rsid w:val="4BF06BD5"/>
    <w:rsid w:val="4C5C7B5E"/>
    <w:rsid w:val="4C681361"/>
    <w:rsid w:val="4C9C1A91"/>
    <w:rsid w:val="4CA8422A"/>
    <w:rsid w:val="4D4929B7"/>
    <w:rsid w:val="4D644F78"/>
    <w:rsid w:val="4D870FA7"/>
    <w:rsid w:val="4D9374BF"/>
    <w:rsid w:val="4DCB23AA"/>
    <w:rsid w:val="4E086F29"/>
    <w:rsid w:val="4E41243B"/>
    <w:rsid w:val="4E462E87"/>
    <w:rsid w:val="4E650406"/>
    <w:rsid w:val="4F2533AB"/>
    <w:rsid w:val="4F674123"/>
    <w:rsid w:val="4F681DA2"/>
    <w:rsid w:val="4FA113E3"/>
    <w:rsid w:val="4FBE1DAA"/>
    <w:rsid w:val="4FD90F73"/>
    <w:rsid w:val="4FF74EE8"/>
    <w:rsid w:val="504A7CCC"/>
    <w:rsid w:val="508E7561"/>
    <w:rsid w:val="50C402D3"/>
    <w:rsid w:val="50D961D0"/>
    <w:rsid w:val="51404B4C"/>
    <w:rsid w:val="51803F01"/>
    <w:rsid w:val="519268D4"/>
    <w:rsid w:val="519A5BE3"/>
    <w:rsid w:val="51A67073"/>
    <w:rsid w:val="51FA302C"/>
    <w:rsid w:val="520231AE"/>
    <w:rsid w:val="521C50D3"/>
    <w:rsid w:val="522856BB"/>
    <w:rsid w:val="52295C21"/>
    <w:rsid w:val="524B7AED"/>
    <w:rsid w:val="526F57C8"/>
    <w:rsid w:val="52746750"/>
    <w:rsid w:val="52824599"/>
    <w:rsid w:val="52AA2CA4"/>
    <w:rsid w:val="52AE32D4"/>
    <w:rsid w:val="538C6498"/>
    <w:rsid w:val="53946F79"/>
    <w:rsid w:val="539772BC"/>
    <w:rsid w:val="543B6D2A"/>
    <w:rsid w:val="543D022F"/>
    <w:rsid w:val="545033D7"/>
    <w:rsid w:val="546A36BA"/>
    <w:rsid w:val="547C2FD3"/>
    <w:rsid w:val="548F2152"/>
    <w:rsid w:val="5493065F"/>
    <w:rsid w:val="5505109F"/>
    <w:rsid w:val="558F3104"/>
    <w:rsid w:val="55D54A49"/>
    <w:rsid w:val="55FA6688"/>
    <w:rsid w:val="56161BD4"/>
    <w:rsid w:val="56265FE2"/>
    <w:rsid w:val="56397B3F"/>
    <w:rsid w:val="563D0748"/>
    <w:rsid w:val="56700C4D"/>
    <w:rsid w:val="5687304A"/>
    <w:rsid w:val="56921FCE"/>
    <w:rsid w:val="56A95543"/>
    <w:rsid w:val="56AD7333"/>
    <w:rsid w:val="570C0E68"/>
    <w:rsid w:val="574D1E50"/>
    <w:rsid w:val="576553EC"/>
    <w:rsid w:val="576745FA"/>
    <w:rsid w:val="577AFDC8"/>
    <w:rsid w:val="57842332"/>
    <w:rsid w:val="58153997"/>
    <w:rsid w:val="58205155"/>
    <w:rsid w:val="582C0C95"/>
    <w:rsid w:val="58421289"/>
    <w:rsid w:val="59127D22"/>
    <w:rsid w:val="597174BF"/>
    <w:rsid w:val="59731161"/>
    <w:rsid w:val="597337C7"/>
    <w:rsid w:val="5974095B"/>
    <w:rsid w:val="599717C2"/>
    <w:rsid w:val="59C450D9"/>
    <w:rsid w:val="59D56AC7"/>
    <w:rsid w:val="59EC0167"/>
    <w:rsid w:val="59F32A13"/>
    <w:rsid w:val="5AA21EF5"/>
    <w:rsid w:val="5AFE7271"/>
    <w:rsid w:val="5B1E6338"/>
    <w:rsid w:val="5B303F63"/>
    <w:rsid w:val="5B416F37"/>
    <w:rsid w:val="5B5156A7"/>
    <w:rsid w:val="5B652F46"/>
    <w:rsid w:val="5BAA40FA"/>
    <w:rsid w:val="5C125FB0"/>
    <w:rsid w:val="5C2F22C9"/>
    <w:rsid w:val="5C340CA6"/>
    <w:rsid w:val="5C383875"/>
    <w:rsid w:val="5C56653E"/>
    <w:rsid w:val="5C9A5B38"/>
    <w:rsid w:val="5CA67410"/>
    <w:rsid w:val="5CC03A58"/>
    <w:rsid w:val="5CC11378"/>
    <w:rsid w:val="5D5575E1"/>
    <w:rsid w:val="5DBC0DB6"/>
    <w:rsid w:val="5DEA21A7"/>
    <w:rsid w:val="5DF169D4"/>
    <w:rsid w:val="5E2F7A26"/>
    <w:rsid w:val="5E58596F"/>
    <w:rsid w:val="5E6C6105"/>
    <w:rsid w:val="5EAD6452"/>
    <w:rsid w:val="5EF8303D"/>
    <w:rsid w:val="5F011E9E"/>
    <w:rsid w:val="5F9467E5"/>
    <w:rsid w:val="5FDB6E58"/>
    <w:rsid w:val="601B6BA4"/>
    <w:rsid w:val="60614D83"/>
    <w:rsid w:val="609A74B4"/>
    <w:rsid w:val="60B612C5"/>
    <w:rsid w:val="60BD404A"/>
    <w:rsid w:val="60C74A21"/>
    <w:rsid w:val="610934E8"/>
    <w:rsid w:val="61C023EE"/>
    <w:rsid w:val="62117360"/>
    <w:rsid w:val="62310E27"/>
    <w:rsid w:val="624520A2"/>
    <w:rsid w:val="624877E1"/>
    <w:rsid w:val="627D34D2"/>
    <w:rsid w:val="62B355B4"/>
    <w:rsid w:val="630E018E"/>
    <w:rsid w:val="630E2DDB"/>
    <w:rsid w:val="63786ADC"/>
    <w:rsid w:val="638A3E65"/>
    <w:rsid w:val="63FF64A4"/>
    <w:rsid w:val="640B731B"/>
    <w:rsid w:val="64594B2A"/>
    <w:rsid w:val="64626E94"/>
    <w:rsid w:val="64826DE3"/>
    <w:rsid w:val="64AC6408"/>
    <w:rsid w:val="64B50DDA"/>
    <w:rsid w:val="6519271C"/>
    <w:rsid w:val="65273CE0"/>
    <w:rsid w:val="65313701"/>
    <w:rsid w:val="657D5FF6"/>
    <w:rsid w:val="65995BF7"/>
    <w:rsid w:val="65B31A18"/>
    <w:rsid w:val="65DC0CE2"/>
    <w:rsid w:val="66237BF9"/>
    <w:rsid w:val="6635763F"/>
    <w:rsid w:val="66402D0B"/>
    <w:rsid w:val="66A35CBD"/>
    <w:rsid w:val="670D6F06"/>
    <w:rsid w:val="677EE081"/>
    <w:rsid w:val="67AF0552"/>
    <w:rsid w:val="67BD21CF"/>
    <w:rsid w:val="67F07B5B"/>
    <w:rsid w:val="67F91313"/>
    <w:rsid w:val="67FBF6E1"/>
    <w:rsid w:val="67FE0EED"/>
    <w:rsid w:val="68473A68"/>
    <w:rsid w:val="684E2030"/>
    <w:rsid w:val="68560D10"/>
    <w:rsid w:val="68D838B4"/>
    <w:rsid w:val="68FFE430"/>
    <w:rsid w:val="690B0C98"/>
    <w:rsid w:val="694C1F68"/>
    <w:rsid w:val="696C5D26"/>
    <w:rsid w:val="69B30239"/>
    <w:rsid w:val="69B77069"/>
    <w:rsid w:val="69EA0261"/>
    <w:rsid w:val="69FD6EED"/>
    <w:rsid w:val="6A2847D0"/>
    <w:rsid w:val="6A42336B"/>
    <w:rsid w:val="6A705E25"/>
    <w:rsid w:val="6A715519"/>
    <w:rsid w:val="6A7B7218"/>
    <w:rsid w:val="6A9A6657"/>
    <w:rsid w:val="6AAC0A0C"/>
    <w:rsid w:val="6AD066E0"/>
    <w:rsid w:val="6AD070C1"/>
    <w:rsid w:val="6B035912"/>
    <w:rsid w:val="6B354808"/>
    <w:rsid w:val="6B71305C"/>
    <w:rsid w:val="6B9504EA"/>
    <w:rsid w:val="6BA81981"/>
    <w:rsid w:val="6BB24805"/>
    <w:rsid w:val="6BB822D8"/>
    <w:rsid w:val="6C030BFA"/>
    <w:rsid w:val="6C174F4C"/>
    <w:rsid w:val="6C236922"/>
    <w:rsid w:val="6C2B67AC"/>
    <w:rsid w:val="6C2E338B"/>
    <w:rsid w:val="6C7F793F"/>
    <w:rsid w:val="6C8020D9"/>
    <w:rsid w:val="6C920019"/>
    <w:rsid w:val="6CB12622"/>
    <w:rsid w:val="6CDA4FB2"/>
    <w:rsid w:val="6CFD2D1F"/>
    <w:rsid w:val="6D871951"/>
    <w:rsid w:val="6DA30CAE"/>
    <w:rsid w:val="6DC03083"/>
    <w:rsid w:val="6DFFD955"/>
    <w:rsid w:val="6E1F46FE"/>
    <w:rsid w:val="6EA3482A"/>
    <w:rsid w:val="6EA445F4"/>
    <w:rsid w:val="6EFB3C5D"/>
    <w:rsid w:val="6F435BBB"/>
    <w:rsid w:val="6F563B40"/>
    <w:rsid w:val="6F7C2E7B"/>
    <w:rsid w:val="6F7E4E45"/>
    <w:rsid w:val="6F8858E9"/>
    <w:rsid w:val="6FAA25A6"/>
    <w:rsid w:val="708A0CE7"/>
    <w:rsid w:val="70BA0DD5"/>
    <w:rsid w:val="710A68CB"/>
    <w:rsid w:val="711A5D0D"/>
    <w:rsid w:val="716F713B"/>
    <w:rsid w:val="719646C8"/>
    <w:rsid w:val="719C5A56"/>
    <w:rsid w:val="719F1B45"/>
    <w:rsid w:val="71E8518B"/>
    <w:rsid w:val="71EA04F4"/>
    <w:rsid w:val="723B3486"/>
    <w:rsid w:val="726B5B54"/>
    <w:rsid w:val="727C0856"/>
    <w:rsid w:val="72B14D85"/>
    <w:rsid w:val="72F425B7"/>
    <w:rsid w:val="730D43B9"/>
    <w:rsid w:val="7324661C"/>
    <w:rsid w:val="73247D96"/>
    <w:rsid w:val="73522870"/>
    <w:rsid w:val="73CA175E"/>
    <w:rsid w:val="73F47C80"/>
    <w:rsid w:val="73F50F87"/>
    <w:rsid w:val="7447614D"/>
    <w:rsid w:val="745F4F6E"/>
    <w:rsid w:val="748603E4"/>
    <w:rsid w:val="74C32D6E"/>
    <w:rsid w:val="74C91B1F"/>
    <w:rsid w:val="75582A4B"/>
    <w:rsid w:val="759A00A2"/>
    <w:rsid w:val="75B25848"/>
    <w:rsid w:val="75C557EB"/>
    <w:rsid w:val="76071A8B"/>
    <w:rsid w:val="760E2D42"/>
    <w:rsid w:val="7610256F"/>
    <w:rsid w:val="761F0A65"/>
    <w:rsid w:val="763D7808"/>
    <w:rsid w:val="76AE437A"/>
    <w:rsid w:val="76BD6569"/>
    <w:rsid w:val="76CD24F6"/>
    <w:rsid w:val="76EC6B38"/>
    <w:rsid w:val="76FFE222"/>
    <w:rsid w:val="772616E6"/>
    <w:rsid w:val="775546DD"/>
    <w:rsid w:val="77917012"/>
    <w:rsid w:val="77C67389"/>
    <w:rsid w:val="77E5E70E"/>
    <w:rsid w:val="77EBBFAD"/>
    <w:rsid w:val="78031B41"/>
    <w:rsid w:val="78054ED4"/>
    <w:rsid w:val="783725D7"/>
    <w:rsid w:val="78CD4747"/>
    <w:rsid w:val="790334E2"/>
    <w:rsid w:val="79335AB4"/>
    <w:rsid w:val="79506D96"/>
    <w:rsid w:val="795B85DF"/>
    <w:rsid w:val="79665E9C"/>
    <w:rsid w:val="79D42874"/>
    <w:rsid w:val="7A155C62"/>
    <w:rsid w:val="7A3B50F1"/>
    <w:rsid w:val="7A6213FE"/>
    <w:rsid w:val="7A724289"/>
    <w:rsid w:val="7A750ABB"/>
    <w:rsid w:val="7A78139C"/>
    <w:rsid w:val="7A96397F"/>
    <w:rsid w:val="7AA815F1"/>
    <w:rsid w:val="7AAA452D"/>
    <w:rsid w:val="7AC168F4"/>
    <w:rsid w:val="7AD579F6"/>
    <w:rsid w:val="7B0B34BF"/>
    <w:rsid w:val="7B527A8D"/>
    <w:rsid w:val="7B566C76"/>
    <w:rsid w:val="7BBC2190"/>
    <w:rsid w:val="7BEA24DC"/>
    <w:rsid w:val="7BEB1CB2"/>
    <w:rsid w:val="7C4A7A9E"/>
    <w:rsid w:val="7C681117"/>
    <w:rsid w:val="7C80044E"/>
    <w:rsid w:val="7C933F5F"/>
    <w:rsid w:val="7CB83561"/>
    <w:rsid w:val="7CF52A1D"/>
    <w:rsid w:val="7D1D1913"/>
    <w:rsid w:val="7D2F3BDC"/>
    <w:rsid w:val="7D4551F4"/>
    <w:rsid w:val="7D836A63"/>
    <w:rsid w:val="7D902913"/>
    <w:rsid w:val="7DFF48E4"/>
    <w:rsid w:val="7E4B2C3B"/>
    <w:rsid w:val="7E8F0AB6"/>
    <w:rsid w:val="7EAB693B"/>
    <w:rsid w:val="7EED5B9C"/>
    <w:rsid w:val="7F2E5CC4"/>
    <w:rsid w:val="7F5F2238"/>
    <w:rsid w:val="7F5F3026"/>
    <w:rsid w:val="7F80174D"/>
    <w:rsid w:val="7F85614E"/>
    <w:rsid w:val="7FF9FEF3"/>
    <w:rsid w:val="7FFFDCAF"/>
    <w:rsid w:val="912E3F6F"/>
    <w:rsid w:val="997B7A69"/>
    <w:rsid w:val="9FDCC24E"/>
    <w:rsid w:val="AEA10064"/>
    <w:rsid w:val="AFFE947D"/>
    <w:rsid w:val="B1F64FCB"/>
    <w:rsid w:val="B9FFF763"/>
    <w:rsid w:val="BBD71BD3"/>
    <w:rsid w:val="C5EF51A2"/>
    <w:rsid w:val="CBED5D4A"/>
    <w:rsid w:val="CEFA2E03"/>
    <w:rsid w:val="D7F7C27C"/>
    <w:rsid w:val="DAFDB9E9"/>
    <w:rsid w:val="DFE7B613"/>
    <w:rsid w:val="EFEFBB87"/>
    <w:rsid w:val="F97EBF28"/>
    <w:rsid w:val="FBBF6CFA"/>
    <w:rsid w:val="FBFAE658"/>
    <w:rsid w:val="FEBC361E"/>
    <w:rsid w:val="FF5F62BD"/>
    <w:rsid w:val="FF6A8643"/>
    <w:rsid w:val="FFB17417"/>
    <w:rsid w:val="FFBAE84B"/>
    <w:rsid w:val="FFC7B3D6"/>
    <w:rsid w:val="FFD7A0F4"/>
    <w:rsid w:val="FFEF07FB"/>
    <w:rsid w:val="FFFECF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1"/>
    <w:pPr>
      <w:widowControl w:val="0"/>
    </w:pPr>
    <w:rPr>
      <w:rFonts w:asciiTheme="minorHAnsi" w:hAnsiTheme="minorHAnsi" w:eastAsiaTheme="minorHAnsi" w:cstheme="minorBidi"/>
      <w:sz w:val="22"/>
      <w:szCs w:val="22"/>
      <w:lang w:val="en-US" w:eastAsia="en-US" w:bidi="ar-SA"/>
    </w:rPr>
  </w:style>
  <w:style w:type="paragraph" w:styleId="2">
    <w:name w:val="heading 1"/>
    <w:basedOn w:val="1"/>
    <w:next w:val="1"/>
    <w:autoRedefine/>
    <w:qFormat/>
    <w:uiPriority w:val="1"/>
    <w:pPr>
      <w:ind w:left="2180"/>
      <w:outlineLvl w:val="0"/>
    </w:pPr>
    <w:rPr>
      <w:rFonts w:ascii="宋体" w:hAnsi="宋体" w:eastAsia="宋体"/>
      <w:b/>
      <w:bCs/>
      <w:sz w:val="32"/>
      <w:szCs w:val="32"/>
    </w:rPr>
  </w:style>
  <w:style w:type="paragraph" w:styleId="3">
    <w:name w:val="heading 2"/>
    <w:basedOn w:val="1"/>
    <w:next w:val="1"/>
    <w:autoRedefine/>
    <w:qFormat/>
    <w:uiPriority w:val="1"/>
    <w:pPr>
      <w:spacing w:before="7"/>
      <w:ind w:left="1158"/>
      <w:outlineLvl w:val="1"/>
    </w:pPr>
    <w:rPr>
      <w:rFonts w:ascii="宋体" w:hAnsi="宋体" w:eastAsia="宋体"/>
      <w:b/>
      <w:bCs/>
      <w:sz w:val="30"/>
      <w:szCs w:val="30"/>
    </w:rPr>
  </w:style>
  <w:style w:type="paragraph" w:styleId="4">
    <w:name w:val="heading 3"/>
    <w:basedOn w:val="1"/>
    <w:next w:val="1"/>
    <w:qFormat/>
    <w:uiPriority w:val="1"/>
    <w:pPr>
      <w:spacing w:before="230"/>
      <w:ind w:left="1431"/>
      <w:outlineLvl w:val="2"/>
    </w:pPr>
    <w:rPr>
      <w:rFonts w:ascii="宋体" w:hAnsi="宋体" w:eastAsia="宋体"/>
      <w:sz w:val="30"/>
      <w:szCs w:val="30"/>
      <w:u w:val="single"/>
    </w:rPr>
  </w:style>
  <w:style w:type="paragraph" w:styleId="5">
    <w:name w:val="heading 4"/>
    <w:basedOn w:val="1"/>
    <w:next w:val="1"/>
    <w:autoRedefine/>
    <w:qFormat/>
    <w:uiPriority w:val="1"/>
    <w:pPr>
      <w:spacing w:before="14"/>
      <w:ind w:left="100"/>
      <w:outlineLvl w:val="3"/>
    </w:pPr>
    <w:rPr>
      <w:rFonts w:ascii="宋体" w:hAnsi="宋体" w:eastAsia="宋体"/>
      <w:b/>
      <w:bCs/>
      <w:sz w:val="28"/>
      <w:szCs w:val="28"/>
    </w:rPr>
  </w:style>
  <w:style w:type="paragraph" w:styleId="6">
    <w:name w:val="heading 5"/>
    <w:basedOn w:val="1"/>
    <w:next w:val="1"/>
    <w:link w:val="43"/>
    <w:autoRedefine/>
    <w:qFormat/>
    <w:uiPriority w:val="1"/>
    <w:pPr>
      <w:spacing w:before="31"/>
      <w:ind w:left="1011"/>
      <w:outlineLvl w:val="4"/>
    </w:pPr>
    <w:rPr>
      <w:rFonts w:ascii="宋体" w:hAnsi="宋体" w:eastAsia="宋体"/>
    </w:rPr>
  </w:style>
  <w:style w:type="paragraph" w:styleId="7">
    <w:name w:val="heading 6"/>
    <w:basedOn w:val="1"/>
    <w:next w:val="1"/>
    <w:autoRedefine/>
    <w:qFormat/>
    <w:uiPriority w:val="1"/>
    <w:pPr>
      <w:spacing w:before="34"/>
      <w:ind w:left="100"/>
      <w:outlineLvl w:val="5"/>
    </w:pPr>
    <w:rPr>
      <w:rFonts w:ascii="宋体" w:hAnsi="宋体" w:eastAsia="宋体"/>
      <w:b/>
      <w:bCs/>
      <w:sz w:val="21"/>
      <w:szCs w:val="21"/>
    </w:rPr>
  </w:style>
  <w:style w:type="character" w:default="1" w:styleId="30">
    <w:name w:val="Default Paragraph Font"/>
    <w:autoRedefine/>
    <w:unhideWhenUsed/>
    <w:qFormat/>
    <w:uiPriority w:val="1"/>
  </w:style>
  <w:style w:type="table" w:default="1" w:styleId="28">
    <w:name w:val="Normal Table"/>
    <w:autoRedefine/>
    <w:unhideWhenUsed/>
    <w:qFormat/>
    <w:uiPriority w:val="99"/>
    <w:tblPr>
      <w:tblCellMar>
        <w:top w:w="0" w:type="dxa"/>
        <w:left w:w="108" w:type="dxa"/>
        <w:bottom w:w="0" w:type="dxa"/>
        <w:right w:w="108" w:type="dxa"/>
      </w:tblCellMar>
    </w:tblPr>
  </w:style>
  <w:style w:type="paragraph" w:styleId="8">
    <w:name w:val="Normal Indent"/>
    <w:basedOn w:val="1"/>
    <w:next w:val="1"/>
    <w:autoRedefine/>
    <w:qFormat/>
    <w:uiPriority w:val="0"/>
    <w:pPr>
      <w:ind w:firstLine="420" w:firstLineChars="200"/>
    </w:pPr>
  </w:style>
  <w:style w:type="paragraph" w:styleId="9">
    <w:name w:val="annotation text"/>
    <w:basedOn w:val="1"/>
    <w:autoRedefine/>
    <w:qFormat/>
    <w:uiPriority w:val="0"/>
    <w:pPr>
      <w:jc w:val="left"/>
    </w:pPr>
  </w:style>
  <w:style w:type="paragraph" w:styleId="10">
    <w:name w:val="Body Text"/>
    <w:basedOn w:val="1"/>
    <w:next w:val="1"/>
    <w:autoRedefine/>
    <w:qFormat/>
    <w:uiPriority w:val="1"/>
    <w:pPr>
      <w:spacing w:before="133"/>
      <w:ind w:left="520"/>
    </w:pPr>
    <w:rPr>
      <w:rFonts w:ascii="宋体" w:hAnsi="宋体" w:eastAsia="宋体"/>
      <w:sz w:val="21"/>
      <w:szCs w:val="21"/>
    </w:rPr>
  </w:style>
  <w:style w:type="paragraph" w:styleId="11">
    <w:name w:val="Body Text Indent"/>
    <w:basedOn w:val="1"/>
    <w:next w:val="12"/>
    <w:autoRedefine/>
    <w:qFormat/>
    <w:uiPriority w:val="0"/>
    <w:pPr>
      <w:spacing w:after="120" w:afterLines="0"/>
      <w:ind w:left="420" w:leftChars="200"/>
    </w:pPr>
    <w:rPr>
      <w:rFonts w:ascii="Times New Roman" w:hAnsi="Times New Roman" w:eastAsia="宋体" w:cs="Times New Roman"/>
      <w:szCs w:val="24"/>
    </w:rPr>
  </w:style>
  <w:style w:type="paragraph" w:styleId="12">
    <w:name w:val="envelope return"/>
    <w:basedOn w:val="1"/>
    <w:autoRedefine/>
    <w:qFormat/>
    <w:uiPriority w:val="0"/>
    <w:pPr>
      <w:snapToGrid w:val="0"/>
    </w:pPr>
    <w:rPr>
      <w:rFonts w:ascii="Arial" w:hAnsi="Arial" w:eastAsia="宋体" w:cs="Times New Roman"/>
    </w:rPr>
  </w:style>
  <w:style w:type="paragraph" w:styleId="13">
    <w:name w:val="index 4"/>
    <w:basedOn w:val="1"/>
    <w:next w:val="1"/>
    <w:autoRedefine/>
    <w:unhideWhenUsed/>
    <w:qFormat/>
    <w:uiPriority w:val="99"/>
    <w:pPr>
      <w:ind w:left="600" w:leftChars="600"/>
    </w:pPr>
  </w:style>
  <w:style w:type="paragraph" w:styleId="14">
    <w:name w:val="Plain Text"/>
    <w:basedOn w:val="1"/>
    <w:autoRedefine/>
    <w:qFormat/>
    <w:uiPriority w:val="0"/>
    <w:rPr>
      <w:rFonts w:ascii="宋体" w:hAnsi="Courier New"/>
    </w:rPr>
  </w:style>
  <w:style w:type="paragraph" w:styleId="15">
    <w:name w:val="Body Text Indent 2"/>
    <w:basedOn w:val="1"/>
    <w:autoRedefine/>
    <w:qFormat/>
    <w:uiPriority w:val="0"/>
    <w:pPr>
      <w:ind w:left="424" w:leftChars="202"/>
    </w:pPr>
    <w:rPr>
      <w:rFonts w:eastAsia="楷体_GB2312"/>
      <w:sz w:val="28"/>
    </w:rPr>
  </w:style>
  <w:style w:type="paragraph" w:styleId="16">
    <w:name w:val="Balloon Text"/>
    <w:basedOn w:val="1"/>
    <w:link w:val="41"/>
    <w:autoRedefine/>
    <w:qFormat/>
    <w:uiPriority w:val="0"/>
    <w:rPr>
      <w:sz w:val="18"/>
      <w:szCs w:val="18"/>
    </w:rPr>
  </w:style>
  <w:style w:type="paragraph" w:styleId="17">
    <w:name w:val="footer"/>
    <w:basedOn w:val="1"/>
    <w:autoRedefine/>
    <w:qFormat/>
    <w:uiPriority w:val="0"/>
    <w:pPr>
      <w:tabs>
        <w:tab w:val="center" w:pos="4153"/>
        <w:tab w:val="right" w:pos="8306"/>
      </w:tabs>
      <w:snapToGrid w:val="0"/>
    </w:pPr>
    <w:rPr>
      <w:sz w:val="18"/>
      <w:szCs w:val="18"/>
    </w:rPr>
  </w:style>
  <w:style w:type="paragraph" w:styleId="1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qFormat/>
    <w:uiPriority w:val="1"/>
    <w:pPr>
      <w:spacing w:before="177"/>
    </w:pPr>
    <w:rPr>
      <w:rFonts w:ascii="宋体" w:hAnsi="宋体" w:eastAsia="宋体"/>
      <w:sz w:val="21"/>
      <w:szCs w:val="21"/>
    </w:rPr>
  </w:style>
  <w:style w:type="paragraph" w:styleId="20">
    <w:name w:val="footnote text"/>
    <w:basedOn w:val="1"/>
    <w:autoRedefine/>
    <w:qFormat/>
    <w:uiPriority w:val="0"/>
    <w:pPr>
      <w:snapToGrid w:val="0"/>
      <w:jc w:val="left"/>
    </w:pPr>
    <w:rPr>
      <w:sz w:val="18"/>
      <w:szCs w:val="18"/>
    </w:rPr>
  </w:style>
  <w:style w:type="paragraph" w:styleId="21">
    <w:name w:val="Body Text Indent 3"/>
    <w:basedOn w:val="1"/>
    <w:autoRedefine/>
    <w:qFormat/>
    <w:uiPriority w:val="0"/>
    <w:pPr>
      <w:ind w:firstLine="639" w:firstLineChars="213"/>
    </w:pPr>
    <w:rPr>
      <w:rFonts w:ascii="仿宋_GB2312" w:eastAsia="仿宋_GB2312"/>
      <w:sz w:val="30"/>
    </w:rPr>
  </w:style>
  <w:style w:type="paragraph" w:styleId="22">
    <w:name w:val="table of figures"/>
    <w:basedOn w:val="1"/>
    <w:next w:val="1"/>
    <w:autoRedefine/>
    <w:semiHidden/>
    <w:unhideWhenUsed/>
    <w:qFormat/>
    <w:uiPriority w:val="99"/>
    <w:pPr>
      <w:ind w:left="200" w:leftChars="200" w:hanging="200" w:hangingChars="200"/>
    </w:pPr>
  </w:style>
  <w:style w:type="paragraph" w:styleId="23">
    <w:name w:val="toc 2"/>
    <w:basedOn w:val="1"/>
    <w:next w:val="1"/>
    <w:autoRedefine/>
    <w:qFormat/>
    <w:uiPriority w:val="1"/>
    <w:pPr>
      <w:spacing w:before="177"/>
      <w:ind w:left="520"/>
    </w:pPr>
    <w:rPr>
      <w:rFonts w:ascii="宋体" w:hAnsi="宋体" w:eastAsia="宋体"/>
      <w:sz w:val="21"/>
      <w:szCs w:val="21"/>
    </w:rPr>
  </w:style>
  <w:style w:type="paragraph" w:styleId="24">
    <w:name w:val="Body Text 2"/>
    <w:basedOn w:val="1"/>
    <w:next w:val="10"/>
    <w:autoRedefine/>
    <w:qFormat/>
    <w:uiPriority w:val="0"/>
    <w:pPr>
      <w:spacing w:after="120" w:line="480" w:lineRule="auto"/>
    </w:pPr>
    <w:rPr>
      <w:rFonts w:ascii="Times New Roman" w:hAnsi="Times New Roman"/>
      <w:sz w:val="20"/>
      <w:szCs w:val="20"/>
    </w:rPr>
  </w:style>
  <w:style w:type="paragraph" w:styleId="25">
    <w:name w:val="Normal (Web)"/>
    <w:basedOn w:val="1"/>
    <w:autoRedefine/>
    <w:qFormat/>
    <w:uiPriority w:val="0"/>
    <w:pPr>
      <w:widowControl/>
      <w:spacing w:before="100" w:beforeAutospacing="1" w:after="100" w:afterAutospacing="1"/>
    </w:pPr>
    <w:rPr>
      <w:rFonts w:ascii="宋体" w:hAnsi="宋体" w:cs="宋体"/>
      <w:sz w:val="24"/>
    </w:rPr>
  </w:style>
  <w:style w:type="paragraph" w:styleId="26">
    <w:name w:val="Body Text First Indent"/>
    <w:basedOn w:val="10"/>
    <w:next w:val="27"/>
    <w:autoRedefine/>
    <w:unhideWhenUsed/>
    <w:qFormat/>
    <w:uiPriority w:val="99"/>
    <w:pPr>
      <w:ind w:firstLine="420"/>
    </w:pPr>
    <w:rPr>
      <w:rFonts w:eastAsia="楷体_GB2312"/>
      <w:sz w:val="32"/>
    </w:rPr>
  </w:style>
  <w:style w:type="paragraph" w:styleId="27">
    <w:name w:val="Body Text First Indent 2"/>
    <w:basedOn w:val="11"/>
    <w:next w:val="1"/>
    <w:autoRedefine/>
    <w:qFormat/>
    <w:uiPriority w:val="0"/>
    <w:pPr>
      <w:ind w:firstLine="420" w:firstLineChars="200"/>
    </w:pPr>
    <w:rPr>
      <w:szCs w:val="21"/>
    </w:rPr>
  </w:style>
  <w:style w:type="table" w:styleId="29">
    <w:name w:val="Table Grid"/>
    <w:basedOn w:val="28"/>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Hyperlink"/>
    <w:basedOn w:val="30"/>
    <w:autoRedefine/>
    <w:qFormat/>
    <w:uiPriority w:val="0"/>
    <w:rPr>
      <w:color w:val="0000FF"/>
      <w:u w:val="single"/>
    </w:rPr>
  </w:style>
  <w:style w:type="paragraph" w:customStyle="1" w:styleId="32">
    <w:name w:val="Default"/>
    <w:basedOn w:val="14"/>
    <w:next w:val="33"/>
    <w:autoRedefine/>
    <w:qFormat/>
    <w:uiPriority w:val="0"/>
    <w:pPr>
      <w:widowControl w:val="0"/>
      <w:autoSpaceDE w:val="0"/>
      <w:autoSpaceDN w:val="0"/>
      <w:adjustRightInd w:val="0"/>
    </w:pPr>
    <w:rPr>
      <w:rFonts w:ascii="楷体_GB2312" w:hAnsi="Times New Roman" w:eastAsia="楷体_GB2312" w:cs="Times New Roman"/>
      <w:color w:val="000000"/>
      <w:sz w:val="24"/>
      <w:lang w:val="en-US" w:eastAsia="zh-CN" w:bidi="ar-SA"/>
    </w:rPr>
  </w:style>
  <w:style w:type="paragraph" w:customStyle="1" w:styleId="33">
    <w:name w:val="toc 7"/>
    <w:next w:val="1"/>
    <w:autoRedefine/>
    <w:qFormat/>
    <w:uiPriority w:val="0"/>
    <w:pPr>
      <w:wordWrap w:val="0"/>
      <w:ind w:left="2550"/>
      <w:jc w:val="both"/>
    </w:pPr>
    <w:rPr>
      <w:rFonts w:ascii="Times New Roman" w:hAnsi="Times New Roman" w:eastAsia="宋体" w:cs="Times New Roman"/>
      <w:sz w:val="21"/>
      <w:szCs w:val="22"/>
      <w:lang w:val="en-US" w:eastAsia="zh-CN" w:bidi="ar-SA"/>
    </w:rPr>
  </w:style>
  <w:style w:type="table" w:customStyle="1" w:styleId="34">
    <w:name w:val="Table Normal"/>
    <w:autoRedefine/>
    <w:unhideWhenUsed/>
    <w:qFormat/>
    <w:uiPriority w:val="2"/>
    <w:tblPr>
      <w:tblCellMar>
        <w:top w:w="0" w:type="dxa"/>
        <w:left w:w="0" w:type="dxa"/>
        <w:bottom w:w="0" w:type="dxa"/>
        <w:right w:w="0" w:type="dxa"/>
      </w:tblCellMar>
    </w:tblPr>
  </w:style>
  <w:style w:type="paragraph" w:customStyle="1" w:styleId="35">
    <w:name w:val="List Paragraph"/>
    <w:basedOn w:val="1"/>
    <w:autoRedefine/>
    <w:qFormat/>
    <w:uiPriority w:val="1"/>
  </w:style>
  <w:style w:type="paragraph" w:customStyle="1" w:styleId="36">
    <w:name w:val="Table Paragraph"/>
    <w:basedOn w:val="1"/>
    <w:autoRedefine/>
    <w:qFormat/>
    <w:uiPriority w:val="1"/>
  </w:style>
  <w:style w:type="paragraph" w:customStyle="1" w:styleId="37">
    <w:name w:val="style4"/>
    <w:basedOn w:val="1"/>
    <w:next w:val="38"/>
    <w:autoRedefine/>
    <w:qFormat/>
    <w:uiPriority w:val="0"/>
    <w:pPr>
      <w:widowControl/>
      <w:spacing w:before="280" w:after="280"/>
      <w:jc w:val="both"/>
    </w:pPr>
    <w:rPr>
      <w:rFonts w:ascii="宋体" w:eastAsia="宋体"/>
      <w:sz w:val="18"/>
    </w:rPr>
  </w:style>
  <w:style w:type="paragraph" w:customStyle="1" w:styleId="38">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39">
    <w:name w:val="WPSOffice手动目录 1"/>
    <w:autoRedefine/>
    <w:qFormat/>
    <w:uiPriority w:val="0"/>
    <w:rPr>
      <w:rFonts w:ascii="Times New Roman" w:hAnsi="Times New Roman" w:eastAsia="宋体" w:cs="Times New Roman"/>
      <w:lang w:val="en-US" w:eastAsia="zh-CN" w:bidi="ar-SA"/>
    </w:rPr>
  </w:style>
  <w:style w:type="paragraph" w:customStyle="1" w:styleId="40">
    <w:name w:val="WPSOffice手动目录 2"/>
    <w:autoRedefine/>
    <w:qFormat/>
    <w:uiPriority w:val="0"/>
    <w:pPr>
      <w:ind w:left="200" w:leftChars="200"/>
    </w:pPr>
    <w:rPr>
      <w:rFonts w:ascii="Times New Roman" w:hAnsi="Times New Roman" w:eastAsia="宋体" w:cs="Times New Roman"/>
      <w:lang w:val="en-US" w:eastAsia="zh-CN" w:bidi="ar-SA"/>
    </w:rPr>
  </w:style>
  <w:style w:type="character" w:customStyle="1" w:styleId="41">
    <w:name w:val="批注框文本 字符"/>
    <w:basedOn w:val="30"/>
    <w:link w:val="16"/>
    <w:autoRedefine/>
    <w:qFormat/>
    <w:uiPriority w:val="0"/>
    <w:rPr>
      <w:rFonts w:asciiTheme="minorHAnsi" w:hAnsiTheme="minorHAnsi" w:eastAsiaTheme="minorHAnsi" w:cstheme="minorBidi"/>
      <w:sz w:val="18"/>
      <w:szCs w:val="18"/>
      <w:lang w:eastAsia="en-US"/>
    </w:rPr>
  </w:style>
  <w:style w:type="paragraph" w:customStyle="1" w:styleId="42">
    <w:name w:val="无间隔1"/>
    <w:basedOn w:val="1"/>
    <w:autoRedefine/>
    <w:qFormat/>
    <w:uiPriority w:val="1"/>
    <w:pPr>
      <w:spacing w:line="400" w:lineRule="exact"/>
    </w:pPr>
    <w:rPr>
      <w:sz w:val="24"/>
    </w:rPr>
  </w:style>
  <w:style w:type="character" w:customStyle="1" w:styleId="43">
    <w:name w:val="标题 5 Char"/>
    <w:link w:val="6"/>
    <w:autoRedefine/>
    <w:qFormat/>
    <w:uiPriority w:val="0"/>
    <w:rPr>
      <w:rFonts w:ascii="宋体" w:hAnsi="宋体" w:eastAsia="宋体"/>
    </w:rPr>
  </w:style>
  <w:style w:type="paragraph" w:customStyle="1" w:styleId="44">
    <w:name w:val="*正文"/>
    <w:basedOn w:val="1"/>
    <w:autoRedefine/>
    <w:qFormat/>
    <w:uiPriority w:val="0"/>
    <w:pPr>
      <w:keepNext/>
      <w:keepLines/>
      <w:spacing w:line="360" w:lineRule="auto"/>
      <w:ind w:firstLine="200" w:firstLineChars="200"/>
    </w:pPr>
    <w:rPr>
      <w:rFonts w:ascii="宋体" w:hAnsi="宋体" w:eastAsia="宋体" w:cs="Times New Roman"/>
      <w:szCs w:val="24"/>
    </w:rPr>
  </w:style>
  <w:style w:type="character" w:customStyle="1" w:styleId="45">
    <w:name w:val="19"/>
    <w:basedOn w:val="30"/>
    <w:autoRedefine/>
    <w:qFormat/>
    <w:uiPriority w:val="0"/>
    <w:rPr>
      <w:rFonts w:hint="default" w:ascii="Wingdings" w:hAnsi="Wingdings" w:cs="Wingdings"/>
    </w:rPr>
  </w:style>
  <w:style w:type="paragraph" w:customStyle="1" w:styleId="46">
    <w:name w:val="BodyText1I2"/>
    <w:basedOn w:val="47"/>
    <w:autoRedefine/>
    <w:qFormat/>
    <w:uiPriority w:val="0"/>
    <w:pPr>
      <w:ind w:firstLine="420" w:firstLineChars="200"/>
    </w:pPr>
    <w:rPr>
      <w:rFonts w:ascii="Times New Roman"/>
    </w:rPr>
  </w:style>
  <w:style w:type="paragraph" w:customStyle="1" w:styleId="47">
    <w:name w:val="BodyTextIndent"/>
    <w:basedOn w:val="1"/>
    <w:next w:val="48"/>
    <w:autoRedefine/>
    <w:qFormat/>
    <w:uiPriority w:val="0"/>
    <w:pPr>
      <w:spacing w:after="120"/>
      <w:ind w:left="420" w:leftChars="200"/>
    </w:pPr>
  </w:style>
  <w:style w:type="paragraph" w:customStyle="1" w:styleId="48">
    <w:name w:val="EnvelopeReturn"/>
    <w:basedOn w:val="1"/>
    <w:autoRedefine/>
    <w:qFormat/>
    <w:uiPriority w:val="0"/>
    <w:pPr>
      <w:snapToGrid w:val="0"/>
    </w:pPr>
    <w:rPr>
      <w:rFonts w:ascii="Arial" w:hAnsi="Arial"/>
    </w:rPr>
  </w:style>
  <w:style w:type="paragraph" w:customStyle="1" w:styleId="49">
    <w:name w:val="Normal (Web)_file_1613"/>
    <w:basedOn w:val="50"/>
    <w:autoRedefine/>
    <w:unhideWhenUsed/>
    <w:qFormat/>
    <w:uiPriority w:val="99"/>
  </w:style>
  <w:style w:type="paragraph" w:customStyle="1" w:styleId="50">
    <w:name w:val="Normal_file_1613"/>
    <w:autoRedefine/>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1">
    <w:name w:val="Normal (Web)_file_1614"/>
    <w:basedOn w:val="52"/>
    <w:autoRedefine/>
    <w:unhideWhenUsed/>
    <w:qFormat/>
    <w:uiPriority w:val="99"/>
  </w:style>
  <w:style w:type="paragraph" w:customStyle="1" w:styleId="52">
    <w:name w:val="Normal_file_1614"/>
    <w:autoRedefine/>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3">
    <w:name w:val="msonormalcxspmiddle"/>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4">
    <w:name w:val="正文_1_0"/>
    <w:qFormat/>
    <w:uiPriority w:val="99"/>
    <w:pPr>
      <w:widowControl w:val="0"/>
      <w:jc w:val="both"/>
    </w:pPr>
    <w:rPr>
      <w:rFonts w:ascii="Times New Roman" w:hAnsi="Times New Roman" w:eastAsia="宋体" w:cs="Times New Roman"/>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58</Pages>
  <Words>9684</Words>
  <Characters>10265</Characters>
  <Lines>111</Lines>
  <Paragraphs>31</Paragraphs>
  <TotalTime>30</TotalTime>
  <ScaleCrop>false</ScaleCrop>
  <LinksUpToDate>false</LinksUpToDate>
  <CharactersWithSpaces>10489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2021-03-10T09:29:00Z</dcterms:created>
  <dc:creator>admin</dc:creator>
  <cp:lastModifiedBy>柳州牧校阙晓南</cp:lastModifiedBy>
  <cp:lastPrinted>2023-10-11T01:23:00Z</cp:lastPrinted>
  <dcterms:modified xsi:type="dcterms:W3CDTF">2024-12-03T01:27:02Z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2019-09-25T00:00:00Z</vt:filetime>
  </property>
  <property fmtid="{D5CDD505-2E9C-101B-9397-08002B2CF9AE}" pid="3" name="Creator">
    <vt:lpwstr>WPS 文字</vt:lpwstr>
  </property>
  <property fmtid="{D5CDD505-2E9C-101B-9397-08002B2CF9AE}" pid="4" name="LastSaved">
    <vt:filetime>2021-03-08T00:00:00Z</vt:filetime>
  </property>
  <property fmtid="{D5CDD505-2E9C-101B-9397-08002B2CF9AE}" pid="5" name="KSOProductBuildVer">
    <vt:lpwstr>2052-12.1.0.18912</vt:lpwstr>
  </property>
  <property fmtid="{D5CDD505-2E9C-101B-9397-08002B2CF9AE}" pid="6" name="ICV">
    <vt:lpwstr>A5C59156F991406BBE34FD6989E24B79_13</vt:lpwstr>
  </property>
</Properties>
</file>