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D7D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i w:val="0"/>
          <w:iCs w:val="0"/>
          <w:caps w:val="0"/>
          <w:color w:val="333333"/>
          <w:spacing w:val="0"/>
          <w:sz w:val="28"/>
          <w:szCs w:val="28"/>
          <w:shd w:val="clear" w:fill="FFFFFF"/>
          <w:lang w:eastAsia="zh-CN"/>
        </w:rPr>
      </w:pPr>
      <w:r>
        <w:rPr>
          <w:rFonts w:hint="eastAsia" w:ascii="宋体" w:hAnsi="宋体" w:eastAsia="宋体" w:cs="宋体"/>
          <w:i w:val="0"/>
          <w:iCs w:val="0"/>
          <w:caps w:val="0"/>
          <w:color w:val="333333"/>
          <w:spacing w:val="0"/>
          <w:sz w:val="28"/>
          <w:szCs w:val="28"/>
          <w:shd w:val="clear" w:fill="FFFFFF"/>
          <w:lang w:eastAsia="zh-CN"/>
        </w:rPr>
        <w:t>附：评分办法</w:t>
      </w:r>
    </w:p>
    <w:tbl>
      <w:tblPr>
        <w:tblStyle w:val="6"/>
        <w:tblW w:w="9196" w:type="dxa"/>
        <w:tblInd w:w="-4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950"/>
        <w:gridCol w:w="702"/>
        <w:gridCol w:w="6669"/>
      </w:tblGrid>
      <w:tr w14:paraId="6808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825" w:type="dxa"/>
            <w:gridSpan w:val="2"/>
            <w:noWrap w:val="0"/>
            <w:vAlign w:val="center"/>
          </w:tcPr>
          <w:p w14:paraId="646F2370">
            <w:pPr>
              <w:adjustRightInd w:val="0"/>
              <w:snapToGrid w:val="0"/>
              <w:spacing w:before="156" w:beforeLines="50" w:line="360" w:lineRule="auto"/>
              <w:jc w:val="center"/>
              <w:rPr>
                <w:rFonts w:hint="eastAsia" w:ascii="宋体" w:hAnsi="宋体" w:eastAsia="宋体" w:cs="宋体"/>
                <w:b/>
                <w:bCs/>
                <w:color w:val="000000"/>
                <w:sz w:val="18"/>
                <w:szCs w:val="18"/>
                <w:highlight w:val="none"/>
                <w:lang w:bidi="ar"/>
              </w:rPr>
            </w:pPr>
            <w:r>
              <w:rPr>
                <w:rFonts w:hint="eastAsia" w:ascii="宋体" w:hAnsi="宋体" w:eastAsia="宋体" w:cs="宋体"/>
                <w:b/>
                <w:bCs/>
                <w:color w:val="000000"/>
                <w:sz w:val="18"/>
                <w:szCs w:val="18"/>
                <w:highlight w:val="none"/>
                <w:lang w:bidi="ar"/>
              </w:rPr>
              <w:t>评审因素</w:t>
            </w:r>
          </w:p>
        </w:tc>
        <w:tc>
          <w:tcPr>
            <w:tcW w:w="702" w:type="dxa"/>
            <w:noWrap w:val="0"/>
            <w:vAlign w:val="center"/>
          </w:tcPr>
          <w:p w14:paraId="1FE28B95">
            <w:pPr>
              <w:adjustRightInd w:val="0"/>
              <w:snapToGrid w:val="0"/>
              <w:spacing w:before="156" w:beforeLines="50" w:line="360" w:lineRule="auto"/>
              <w:rPr>
                <w:rFonts w:hint="eastAsia" w:ascii="宋体" w:hAnsi="宋体" w:eastAsia="宋体" w:cs="宋体"/>
                <w:b/>
                <w:bCs/>
                <w:color w:val="000000"/>
                <w:sz w:val="18"/>
                <w:szCs w:val="18"/>
                <w:highlight w:val="none"/>
                <w:lang w:bidi="ar"/>
              </w:rPr>
            </w:pPr>
            <w:r>
              <w:rPr>
                <w:rFonts w:hint="eastAsia" w:ascii="宋体" w:hAnsi="宋体" w:eastAsia="宋体" w:cs="宋体"/>
                <w:b/>
                <w:bCs/>
                <w:color w:val="000000"/>
                <w:sz w:val="18"/>
                <w:szCs w:val="18"/>
                <w:highlight w:val="none"/>
                <w:lang w:bidi="ar"/>
              </w:rPr>
              <w:t>分值（分）</w:t>
            </w:r>
          </w:p>
        </w:tc>
        <w:tc>
          <w:tcPr>
            <w:tcW w:w="6669" w:type="dxa"/>
            <w:noWrap w:val="0"/>
            <w:vAlign w:val="center"/>
          </w:tcPr>
          <w:p w14:paraId="11BDC1C6">
            <w:pPr>
              <w:adjustRightInd w:val="0"/>
              <w:snapToGrid w:val="0"/>
              <w:spacing w:before="156" w:beforeLines="50" w:line="360" w:lineRule="auto"/>
              <w:jc w:val="center"/>
              <w:rPr>
                <w:rFonts w:hint="eastAsia" w:ascii="宋体" w:hAnsi="宋体" w:eastAsia="宋体" w:cs="宋体"/>
                <w:b/>
                <w:bCs/>
                <w:color w:val="000000"/>
                <w:sz w:val="18"/>
                <w:szCs w:val="18"/>
                <w:highlight w:val="none"/>
                <w:lang w:bidi="ar"/>
              </w:rPr>
            </w:pPr>
            <w:r>
              <w:rPr>
                <w:rFonts w:hint="eastAsia" w:ascii="宋体" w:hAnsi="宋体" w:eastAsia="宋体" w:cs="宋体"/>
                <w:b/>
                <w:bCs/>
                <w:color w:val="000000"/>
                <w:sz w:val="18"/>
                <w:szCs w:val="18"/>
                <w:highlight w:val="none"/>
                <w:lang w:bidi="ar"/>
              </w:rPr>
              <w:t>评分标准</w:t>
            </w:r>
          </w:p>
        </w:tc>
      </w:tr>
      <w:tr w14:paraId="2CF4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5" w:type="dxa"/>
            <w:vMerge w:val="restart"/>
            <w:noWrap w:val="0"/>
            <w:vAlign w:val="center"/>
          </w:tcPr>
          <w:p w14:paraId="1A715442">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ascii="宋体" w:hAnsi="宋体" w:cs="宋体"/>
                <w:color w:val="000000"/>
                <w:sz w:val="18"/>
                <w:szCs w:val="18"/>
                <w:highlight w:val="none"/>
                <w:lang w:bidi="ar"/>
              </w:rPr>
            </w:pPr>
            <w:r>
              <w:rPr>
                <w:rFonts w:hint="eastAsia" w:ascii="宋体" w:hAnsi="宋体" w:cs="宋体"/>
                <w:color w:val="000000"/>
                <w:sz w:val="18"/>
                <w:szCs w:val="18"/>
                <w:highlight w:val="none"/>
                <w:lang w:val="en-US" w:eastAsia="zh-CN" w:bidi="ar"/>
              </w:rPr>
              <w:t>技术</w:t>
            </w:r>
          </w:p>
        </w:tc>
        <w:tc>
          <w:tcPr>
            <w:tcW w:w="950" w:type="dxa"/>
            <w:shd w:val="clear" w:color="auto" w:fill="FFFFFF"/>
            <w:noWrap w:val="0"/>
            <w:vAlign w:val="center"/>
          </w:tcPr>
          <w:p w14:paraId="310C6AE4">
            <w:pPr>
              <w:keepNext w:val="0"/>
              <w:keepLines w:val="0"/>
              <w:pageBreakBefore w:val="0"/>
              <w:kinsoku/>
              <w:wordWrap/>
              <w:overflowPunct/>
              <w:topLinePunct w:val="0"/>
              <w:autoSpaceDE/>
              <w:autoSpaceDN/>
              <w:bidi w:val="0"/>
              <w:adjustRightInd w:val="0"/>
              <w:snapToGrid w:val="0"/>
              <w:spacing w:before="156" w:beforeLines="50" w:line="300" w:lineRule="exact"/>
              <w:jc w:val="center"/>
              <w:textAlignment w:val="auto"/>
              <w:rPr>
                <w:rFonts w:hint="eastAsia" w:ascii="宋体" w:hAnsi="宋体" w:eastAsia="宋体" w:cs="宋体"/>
                <w:color w:val="000000"/>
                <w:kern w:val="2"/>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供货保障措施</w:t>
            </w:r>
          </w:p>
        </w:tc>
        <w:tc>
          <w:tcPr>
            <w:tcW w:w="702" w:type="dxa"/>
            <w:shd w:val="clear" w:color="auto" w:fill="FFFFFF"/>
            <w:noWrap w:val="0"/>
            <w:vAlign w:val="center"/>
          </w:tcPr>
          <w:p w14:paraId="3ABE8826">
            <w:pPr>
              <w:keepNext w:val="0"/>
              <w:keepLines w:val="0"/>
              <w:pageBreakBefore w:val="0"/>
              <w:kinsoku/>
              <w:wordWrap/>
              <w:overflowPunct/>
              <w:topLinePunct w:val="0"/>
              <w:autoSpaceDE/>
              <w:autoSpaceDN/>
              <w:bidi w:val="0"/>
              <w:adjustRightInd w:val="0"/>
              <w:snapToGrid w:val="0"/>
              <w:spacing w:before="156" w:beforeLines="50" w:line="300" w:lineRule="exact"/>
              <w:jc w:val="center"/>
              <w:textAlignment w:val="auto"/>
              <w:rPr>
                <w:rFonts w:hint="default" w:ascii="宋体" w:hAnsi="宋体" w:eastAsia="宋体" w:cs="宋体"/>
                <w:color w:val="000000"/>
                <w:kern w:val="2"/>
                <w:sz w:val="18"/>
                <w:szCs w:val="18"/>
                <w:highlight w:val="none"/>
                <w:lang w:val="en-US" w:eastAsia="zh-CN" w:bidi="ar"/>
              </w:rPr>
            </w:pPr>
            <w:r>
              <w:rPr>
                <w:rFonts w:hint="eastAsia" w:ascii="宋体" w:hAnsi="宋体" w:cs="宋体"/>
                <w:color w:val="000000"/>
                <w:sz w:val="18"/>
                <w:szCs w:val="18"/>
                <w:highlight w:val="none"/>
                <w:lang w:val="en-US" w:eastAsia="zh-CN" w:bidi="ar"/>
              </w:rPr>
              <w:t>25</w:t>
            </w:r>
          </w:p>
        </w:tc>
        <w:tc>
          <w:tcPr>
            <w:tcW w:w="6669" w:type="dxa"/>
            <w:shd w:val="clear" w:color="auto" w:fill="FFFFFF"/>
            <w:noWrap w:val="0"/>
            <w:vAlign w:val="center"/>
          </w:tcPr>
          <w:p w14:paraId="4A5FEB0C">
            <w:pPr>
              <w:pStyle w:val="9"/>
              <w:keepNext w:val="0"/>
              <w:keepLines w:val="0"/>
              <w:pageBreakBefore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Calibri" w:hAnsi="Calibri" w:eastAsia="宋体" w:cs="Times New Roman"/>
                <w:color w:val="000000"/>
                <w:kern w:val="2"/>
                <w:sz w:val="18"/>
                <w:szCs w:val="18"/>
                <w:highlight w:val="none"/>
                <w:lang w:val="en-US" w:eastAsia="zh-CN" w:bidi="ar-SA"/>
              </w:rPr>
            </w:pPr>
            <w:r>
              <w:rPr>
                <w:rFonts w:hint="eastAsia" w:eastAsia="宋体"/>
                <w:color w:val="000000"/>
                <w:sz w:val="18"/>
                <w:szCs w:val="18"/>
                <w:highlight w:val="none"/>
                <w:lang w:val="en-US" w:eastAsia="zh-CN"/>
              </w:rPr>
              <w:t>根据投标人针</w:t>
            </w:r>
            <w:bookmarkStart w:id="0" w:name="_GoBack"/>
            <w:bookmarkEnd w:id="0"/>
            <w:r>
              <w:rPr>
                <w:rFonts w:hint="eastAsia" w:eastAsia="宋体"/>
                <w:color w:val="000000"/>
                <w:sz w:val="18"/>
                <w:szCs w:val="18"/>
                <w:highlight w:val="none"/>
                <w:lang w:val="en-US" w:eastAsia="zh-CN"/>
              </w:rPr>
              <w:t>对本项目提供的项目实施方案，包括但不限于供货周期、项目管理、质量保障措施及安全措施进行综合评定后计分，方案详细、内容完善、科学合理，可操作性强的计20分，方案不完善的，每处扣3分，有缺漏项或不合理处每处扣5分，扣完为止。</w:t>
            </w:r>
          </w:p>
        </w:tc>
      </w:tr>
      <w:tr w14:paraId="0FA7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5" w:type="dxa"/>
            <w:vMerge w:val="continue"/>
            <w:shd w:val="clear" w:color="auto" w:fill="auto"/>
            <w:noWrap w:val="0"/>
            <w:vAlign w:val="center"/>
          </w:tcPr>
          <w:p w14:paraId="61459385">
            <w:pPr>
              <w:keepNext w:val="0"/>
              <w:keepLines w:val="0"/>
              <w:pageBreakBefore w:val="0"/>
              <w:kinsoku/>
              <w:wordWrap/>
              <w:overflowPunct/>
              <w:topLinePunct w:val="0"/>
              <w:autoSpaceDE/>
              <w:autoSpaceDN/>
              <w:bidi w:val="0"/>
              <w:adjustRightInd w:val="0"/>
              <w:snapToGrid w:val="0"/>
              <w:spacing w:line="300" w:lineRule="exact"/>
              <w:textAlignment w:val="auto"/>
              <w:rPr>
                <w:rFonts w:ascii="宋体" w:hAnsi="宋体" w:cs="宋体"/>
                <w:color w:val="000000"/>
                <w:sz w:val="18"/>
                <w:szCs w:val="18"/>
                <w:highlight w:val="none"/>
                <w:lang w:bidi="ar"/>
              </w:rPr>
            </w:pPr>
          </w:p>
        </w:tc>
        <w:tc>
          <w:tcPr>
            <w:tcW w:w="950" w:type="dxa"/>
            <w:shd w:val="clear" w:color="auto" w:fill="FFFFFF"/>
            <w:noWrap w:val="0"/>
            <w:vAlign w:val="center"/>
          </w:tcPr>
          <w:p w14:paraId="5A065051">
            <w:pPr>
              <w:keepNext w:val="0"/>
              <w:keepLines w:val="0"/>
              <w:pageBreakBefore w:val="0"/>
              <w:kinsoku/>
              <w:wordWrap/>
              <w:overflowPunct/>
              <w:topLinePunct w:val="0"/>
              <w:autoSpaceDE/>
              <w:autoSpaceDN/>
              <w:bidi w:val="0"/>
              <w:adjustRightInd w:val="0"/>
              <w:snapToGrid w:val="0"/>
              <w:spacing w:before="156" w:beforeLines="50" w:line="300" w:lineRule="exact"/>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设备</w:t>
            </w:r>
          </w:p>
          <w:p w14:paraId="58E07786">
            <w:pPr>
              <w:keepNext w:val="0"/>
              <w:keepLines w:val="0"/>
              <w:pageBreakBefore w:val="0"/>
              <w:kinsoku/>
              <w:wordWrap/>
              <w:overflowPunct/>
              <w:topLinePunct w:val="0"/>
              <w:autoSpaceDE/>
              <w:autoSpaceDN/>
              <w:bidi w:val="0"/>
              <w:adjustRightInd w:val="0"/>
              <w:snapToGrid w:val="0"/>
              <w:spacing w:before="156" w:beforeLines="50" w:line="300" w:lineRule="exact"/>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能力</w:t>
            </w:r>
          </w:p>
        </w:tc>
        <w:tc>
          <w:tcPr>
            <w:tcW w:w="702" w:type="dxa"/>
            <w:shd w:val="clear" w:color="auto" w:fill="FFFFFF"/>
            <w:noWrap w:val="0"/>
            <w:vAlign w:val="center"/>
          </w:tcPr>
          <w:p w14:paraId="4B13E178">
            <w:pPr>
              <w:keepNext w:val="0"/>
              <w:keepLines w:val="0"/>
              <w:pageBreakBefore w:val="0"/>
              <w:kinsoku/>
              <w:wordWrap/>
              <w:overflowPunct/>
              <w:topLinePunct w:val="0"/>
              <w:autoSpaceDE/>
              <w:autoSpaceDN/>
              <w:bidi w:val="0"/>
              <w:adjustRightInd w:val="0"/>
              <w:snapToGrid w:val="0"/>
              <w:spacing w:before="156" w:beforeLines="50" w:line="300" w:lineRule="exact"/>
              <w:jc w:val="center"/>
              <w:textAlignment w:val="auto"/>
              <w:rPr>
                <w:rFonts w:hint="default"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10</w:t>
            </w:r>
          </w:p>
        </w:tc>
        <w:tc>
          <w:tcPr>
            <w:tcW w:w="6669" w:type="dxa"/>
            <w:shd w:val="clear" w:color="auto" w:fill="FFFFFF"/>
            <w:noWrap w:val="0"/>
            <w:vAlign w:val="center"/>
          </w:tcPr>
          <w:p w14:paraId="72CD7A4A">
            <w:pPr>
              <w:pStyle w:val="9"/>
              <w:keepNext w:val="0"/>
              <w:keepLines w:val="0"/>
              <w:pageBreakBefore w:val="0"/>
              <w:kinsoku/>
              <w:wordWrap/>
              <w:overflowPunct/>
              <w:topLinePunct w:val="0"/>
              <w:autoSpaceDE/>
              <w:autoSpaceDN/>
              <w:bidi w:val="0"/>
              <w:adjustRightInd/>
              <w:snapToGrid/>
              <w:spacing w:line="300" w:lineRule="exact"/>
              <w:ind w:left="0" w:leftChars="0" w:firstLine="0" w:firstLineChars="0"/>
              <w:jc w:val="left"/>
              <w:textAlignment w:val="auto"/>
              <w:rPr>
                <w:rFonts w:hint="default" w:eastAsia="宋体"/>
                <w:color w:val="000000"/>
                <w:sz w:val="18"/>
                <w:szCs w:val="18"/>
                <w:highlight w:val="none"/>
                <w:lang w:val="en-US" w:eastAsia="zh-CN"/>
              </w:rPr>
            </w:pPr>
            <w:r>
              <w:rPr>
                <w:rFonts w:hint="default" w:eastAsia="宋体"/>
                <w:color w:val="000000"/>
                <w:sz w:val="18"/>
                <w:szCs w:val="18"/>
                <w:highlight w:val="none"/>
                <w:lang w:val="en-US" w:eastAsia="zh-CN"/>
              </w:rPr>
              <w:t>投标人或其服装制造商具有生产相应货物所需的基本专用生产设备：自动裁床系统、自动吊挂系统、粘合机、缩水定型机、电脑刺绣机、自动验布机、开袋机、织物起毛起球仪 、摩擦色牢度测试仪、织物强力仪，上述设备每满足一项得 1分，满分10分。</w:t>
            </w:r>
          </w:p>
          <w:p w14:paraId="672AC28A">
            <w:pPr>
              <w:pStyle w:val="9"/>
              <w:keepNext w:val="0"/>
              <w:keepLines w:val="0"/>
              <w:pageBreakBefore w:val="0"/>
              <w:kinsoku/>
              <w:wordWrap/>
              <w:overflowPunct/>
              <w:topLinePunct w:val="0"/>
              <w:autoSpaceDE/>
              <w:autoSpaceDN/>
              <w:bidi w:val="0"/>
              <w:adjustRightInd/>
              <w:snapToGrid/>
              <w:spacing w:line="300" w:lineRule="exact"/>
              <w:ind w:left="0" w:leftChars="0" w:firstLine="0" w:firstLineChars="0"/>
              <w:jc w:val="left"/>
              <w:textAlignment w:val="auto"/>
              <w:rPr>
                <w:rFonts w:hint="default" w:eastAsia="宋体"/>
                <w:color w:val="000000"/>
                <w:sz w:val="18"/>
                <w:szCs w:val="18"/>
                <w:highlight w:val="none"/>
                <w:lang w:val="en-US" w:eastAsia="zh-CN"/>
              </w:rPr>
            </w:pPr>
            <w:r>
              <w:rPr>
                <w:rFonts w:hint="default" w:eastAsia="宋体"/>
                <w:color w:val="000000"/>
                <w:sz w:val="18"/>
                <w:szCs w:val="18"/>
                <w:highlight w:val="none"/>
                <w:lang w:val="en-US" w:eastAsia="zh-CN"/>
              </w:rPr>
              <w:t>注：以上计分须提供设备清单、实物照片、购置发票或</w:t>
            </w:r>
            <w:r>
              <w:rPr>
                <w:rFonts w:hint="eastAsia" w:eastAsia="宋体"/>
                <w:color w:val="000000"/>
                <w:sz w:val="18"/>
                <w:szCs w:val="18"/>
                <w:highlight w:val="none"/>
                <w:lang w:val="en-US" w:eastAsia="zh-CN"/>
              </w:rPr>
              <w:t>租赁</w:t>
            </w:r>
            <w:r>
              <w:rPr>
                <w:rFonts w:hint="default" w:eastAsia="宋体"/>
                <w:color w:val="000000"/>
                <w:sz w:val="18"/>
                <w:szCs w:val="18"/>
                <w:highlight w:val="none"/>
                <w:lang w:val="en-US" w:eastAsia="zh-CN"/>
              </w:rPr>
              <w:t>合同扫描件（须体现单位名称），否则不计分。</w:t>
            </w:r>
          </w:p>
        </w:tc>
      </w:tr>
      <w:tr w14:paraId="5E19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75" w:type="dxa"/>
            <w:vMerge w:val="restart"/>
            <w:shd w:val="clear" w:color="auto" w:fill="auto"/>
            <w:noWrap w:val="0"/>
            <w:vAlign w:val="center"/>
          </w:tcPr>
          <w:p w14:paraId="4CE3C211">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商务</w:t>
            </w:r>
          </w:p>
        </w:tc>
        <w:tc>
          <w:tcPr>
            <w:tcW w:w="950" w:type="dxa"/>
            <w:shd w:val="clear" w:color="auto" w:fill="FFFFFF"/>
            <w:noWrap w:val="0"/>
            <w:vAlign w:val="center"/>
          </w:tcPr>
          <w:p w14:paraId="24C8B9B5">
            <w:pPr>
              <w:keepNext w:val="0"/>
              <w:keepLines w:val="0"/>
              <w:pageBreakBefore w:val="0"/>
              <w:kinsoku/>
              <w:wordWrap/>
              <w:overflowPunct/>
              <w:topLinePunct w:val="0"/>
              <w:autoSpaceDE/>
              <w:autoSpaceDN/>
              <w:bidi w:val="0"/>
              <w:adjustRightInd w:val="0"/>
              <w:snapToGrid w:val="0"/>
              <w:spacing w:before="156" w:beforeLines="50" w:line="300" w:lineRule="exact"/>
              <w:jc w:val="center"/>
              <w:textAlignment w:val="auto"/>
              <w:rPr>
                <w:rFonts w:hint="default" w:ascii="宋体" w:hAnsi="宋体" w:eastAsia="宋体" w:cs="宋体"/>
                <w:color w:val="000000"/>
                <w:sz w:val="18"/>
                <w:szCs w:val="18"/>
                <w:highlight w:val="none"/>
                <w:lang w:val="en-US" w:eastAsia="zh-CN" w:bidi="ar"/>
              </w:rPr>
            </w:pPr>
            <w:r>
              <w:rPr>
                <w:rFonts w:hint="default" w:ascii="宋体" w:hAnsi="宋体" w:eastAsia="宋体" w:cs="宋体"/>
                <w:color w:val="000000"/>
                <w:sz w:val="18"/>
                <w:szCs w:val="18"/>
                <w:highlight w:val="none"/>
                <w:lang w:val="en-US" w:eastAsia="zh-CN" w:bidi="ar"/>
              </w:rPr>
              <w:t>管理体系认证</w:t>
            </w:r>
          </w:p>
        </w:tc>
        <w:tc>
          <w:tcPr>
            <w:tcW w:w="702" w:type="dxa"/>
            <w:shd w:val="clear" w:color="auto" w:fill="FFFFFF"/>
            <w:noWrap w:val="0"/>
            <w:vAlign w:val="center"/>
          </w:tcPr>
          <w:p w14:paraId="55944B31">
            <w:pPr>
              <w:keepNext w:val="0"/>
              <w:keepLines w:val="0"/>
              <w:pageBreakBefore w:val="0"/>
              <w:kinsoku/>
              <w:wordWrap/>
              <w:overflowPunct/>
              <w:topLinePunct w:val="0"/>
              <w:autoSpaceDE/>
              <w:autoSpaceDN/>
              <w:bidi w:val="0"/>
              <w:adjustRightInd w:val="0"/>
              <w:snapToGrid w:val="0"/>
              <w:spacing w:before="156" w:beforeLines="50" w:line="300" w:lineRule="exact"/>
              <w:jc w:val="center"/>
              <w:textAlignment w:val="auto"/>
              <w:rPr>
                <w:rFonts w:hint="default"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9</w:t>
            </w:r>
          </w:p>
        </w:tc>
        <w:tc>
          <w:tcPr>
            <w:tcW w:w="6669" w:type="dxa"/>
            <w:shd w:val="clear" w:color="auto" w:fill="FFFFFF"/>
            <w:noWrap w:val="0"/>
            <w:vAlign w:val="top"/>
          </w:tcPr>
          <w:p w14:paraId="21DD2223">
            <w:pPr>
              <w:pStyle w:val="9"/>
              <w:keepNext w:val="0"/>
              <w:keepLines w:val="0"/>
              <w:pageBreakBefore w:val="0"/>
              <w:kinsoku/>
              <w:wordWrap/>
              <w:overflowPunct/>
              <w:topLinePunct w:val="0"/>
              <w:autoSpaceDE/>
              <w:autoSpaceDN/>
              <w:bidi w:val="0"/>
              <w:adjustRightInd/>
              <w:snapToGrid/>
              <w:spacing w:line="300" w:lineRule="exact"/>
              <w:ind w:left="0" w:leftChars="0" w:firstLine="0" w:firstLineChars="0"/>
              <w:jc w:val="both"/>
              <w:textAlignment w:val="auto"/>
              <w:rPr>
                <w:rFonts w:hint="default" w:eastAsia="宋体"/>
                <w:color w:val="000000"/>
                <w:sz w:val="18"/>
                <w:szCs w:val="18"/>
                <w:highlight w:val="none"/>
                <w:lang w:val="en-US" w:eastAsia="zh-CN"/>
              </w:rPr>
            </w:pPr>
            <w:r>
              <w:rPr>
                <w:rFonts w:hint="default" w:eastAsia="宋体"/>
                <w:color w:val="000000"/>
                <w:sz w:val="18"/>
                <w:szCs w:val="18"/>
                <w:highlight w:val="none"/>
                <w:lang w:val="en-US" w:eastAsia="zh-CN"/>
              </w:rPr>
              <w:t>根据投标人或其服装制造商提供的有效的质量管理体系认证、环境管理体系认证、职业健康安全管理体系认证的认证证书进行评分，每</w:t>
            </w:r>
            <w:r>
              <w:rPr>
                <w:rFonts w:hint="eastAsia" w:eastAsia="宋体"/>
                <w:color w:val="000000"/>
                <w:sz w:val="18"/>
                <w:szCs w:val="18"/>
                <w:highlight w:val="none"/>
                <w:lang w:val="en-US" w:eastAsia="zh-CN"/>
              </w:rPr>
              <w:t>提供</w:t>
            </w:r>
            <w:r>
              <w:rPr>
                <w:rFonts w:hint="default" w:eastAsia="宋体"/>
                <w:color w:val="000000"/>
                <w:sz w:val="18"/>
                <w:szCs w:val="18"/>
                <w:highlight w:val="none"/>
                <w:lang w:val="en-US" w:eastAsia="zh-CN"/>
              </w:rPr>
              <w:t>1项得3分，最高得9分，未提供不得分。</w:t>
            </w:r>
          </w:p>
        </w:tc>
      </w:tr>
      <w:tr w14:paraId="0618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75" w:type="dxa"/>
            <w:vMerge w:val="continue"/>
            <w:shd w:val="clear" w:color="auto" w:fill="auto"/>
            <w:noWrap w:val="0"/>
            <w:vAlign w:val="center"/>
          </w:tcPr>
          <w:p w14:paraId="3FD0BAA7">
            <w:pPr>
              <w:keepNext w:val="0"/>
              <w:keepLines w:val="0"/>
              <w:pageBreakBefore w:val="0"/>
              <w:widowControl/>
              <w:kinsoku/>
              <w:wordWrap/>
              <w:overflowPunct/>
              <w:topLinePunct w:val="0"/>
              <w:autoSpaceDE/>
              <w:autoSpaceDN/>
              <w:bidi w:val="0"/>
              <w:spacing w:line="300" w:lineRule="exact"/>
              <w:jc w:val="left"/>
              <w:textAlignment w:val="auto"/>
              <w:rPr>
                <w:rFonts w:ascii="宋体" w:hAnsi="宋体" w:cs="宋体"/>
                <w:color w:val="000000"/>
                <w:sz w:val="18"/>
                <w:szCs w:val="18"/>
                <w:highlight w:val="none"/>
              </w:rPr>
            </w:pPr>
          </w:p>
        </w:tc>
        <w:tc>
          <w:tcPr>
            <w:tcW w:w="950" w:type="dxa"/>
            <w:shd w:val="clear" w:color="auto" w:fill="auto"/>
            <w:noWrap w:val="0"/>
            <w:vAlign w:val="center"/>
          </w:tcPr>
          <w:p w14:paraId="3A79BA1F">
            <w:pPr>
              <w:keepNext w:val="0"/>
              <w:keepLines w:val="0"/>
              <w:pageBreakBefore w:val="0"/>
              <w:kinsoku/>
              <w:wordWrap/>
              <w:overflowPunct/>
              <w:topLinePunct w:val="0"/>
              <w:autoSpaceDE/>
              <w:autoSpaceDN/>
              <w:bidi w:val="0"/>
              <w:adjustRightInd w:val="0"/>
              <w:snapToGrid w:val="0"/>
              <w:spacing w:before="156" w:beforeLines="50" w:line="300" w:lineRule="exact"/>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综合实力</w:t>
            </w:r>
          </w:p>
        </w:tc>
        <w:tc>
          <w:tcPr>
            <w:tcW w:w="702" w:type="dxa"/>
            <w:shd w:val="clear" w:color="auto" w:fill="FFFFFF"/>
            <w:noWrap w:val="0"/>
            <w:vAlign w:val="center"/>
          </w:tcPr>
          <w:p w14:paraId="5C51E820">
            <w:pPr>
              <w:keepNext w:val="0"/>
              <w:keepLines w:val="0"/>
              <w:pageBreakBefore w:val="0"/>
              <w:kinsoku/>
              <w:wordWrap/>
              <w:overflowPunct/>
              <w:topLinePunct w:val="0"/>
              <w:autoSpaceDE/>
              <w:autoSpaceDN/>
              <w:bidi w:val="0"/>
              <w:adjustRightInd w:val="0"/>
              <w:snapToGrid w:val="0"/>
              <w:spacing w:before="156" w:beforeLines="50" w:line="300" w:lineRule="exact"/>
              <w:jc w:val="center"/>
              <w:textAlignment w:val="auto"/>
              <w:rPr>
                <w:rFonts w:hint="default"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6</w:t>
            </w:r>
          </w:p>
        </w:tc>
        <w:tc>
          <w:tcPr>
            <w:tcW w:w="6669" w:type="dxa"/>
            <w:shd w:val="clear" w:color="auto" w:fill="FFFFFF"/>
            <w:noWrap w:val="0"/>
            <w:vAlign w:val="top"/>
          </w:tcPr>
          <w:p w14:paraId="527C7EA4">
            <w:pPr>
              <w:pStyle w:val="9"/>
              <w:keepNext w:val="0"/>
              <w:keepLines w:val="0"/>
              <w:pageBreakBefore w:val="0"/>
              <w:kinsoku/>
              <w:wordWrap/>
              <w:overflowPunct/>
              <w:topLinePunct w:val="0"/>
              <w:autoSpaceDE/>
              <w:autoSpaceDN/>
              <w:bidi w:val="0"/>
              <w:adjustRightInd/>
              <w:snapToGrid/>
              <w:spacing w:line="300" w:lineRule="exact"/>
              <w:ind w:left="0" w:leftChars="0" w:firstLine="0" w:firstLineChars="0"/>
              <w:jc w:val="both"/>
              <w:textAlignment w:val="auto"/>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1、</w:t>
            </w:r>
            <w:r>
              <w:rPr>
                <w:rFonts w:hint="default" w:eastAsia="宋体"/>
                <w:color w:val="000000"/>
                <w:sz w:val="18"/>
                <w:szCs w:val="18"/>
                <w:highlight w:val="none"/>
                <w:lang w:val="en-US" w:eastAsia="zh-CN"/>
              </w:rPr>
              <w:t>投标人或其服装制造商</w:t>
            </w:r>
            <w:r>
              <w:rPr>
                <w:rFonts w:hint="eastAsia" w:eastAsia="宋体"/>
                <w:color w:val="000000"/>
                <w:sz w:val="18"/>
                <w:szCs w:val="18"/>
                <w:highlight w:val="none"/>
                <w:lang w:val="en-US" w:eastAsia="zh-CN"/>
              </w:rPr>
              <w:t>获得国家级工业设计中心的得3分。国家级以下工业设计中心的得1分。</w:t>
            </w:r>
          </w:p>
          <w:p w14:paraId="2ECD4AA5">
            <w:pPr>
              <w:pStyle w:val="9"/>
              <w:keepNext w:val="0"/>
              <w:keepLines w:val="0"/>
              <w:pageBreakBefore w:val="0"/>
              <w:kinsoku/>
              <w:wordWrap/>
              <w:overflowPunct/>
              <w:topLinePunct w:val="0"/>
              <w:autoSpaceDE/>
              <w:autoSpaceDN/>
              <w:bidi w:val="0"/>
              <w:adjustRightInd/>
              <w:snapToGrid/>
              <w:spacing w:line="300" w:lineRule="exact"/>
              <w:ind w:left="0" w:leftChars="0" w:firstLine="0" w:firstLineChars="0"/>
              <w:jc w:val="both"/>
              <w:textAlignment w:val="auto"/>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2、</w:t>
            </w:r>
            <w:r>
              <w:rPr>
                <w:rFonts w:hint="default" w:eastAsia="宋体"/>
                <w:color w:val="000000"/>
                <w:sz w:val="18"/>
                <w:szCs w:val="18"/>
                <w:highlight w:val="none"/>
                <w:lang w:val="en-US" w:eastAsia="zh-CN"/>
              </w:rPr>
              <w:t>投标人或其服装制造商获得由国家人社部认定的“全国纺织工业先进集体”的</w:t>
            </w:r>
            <w:r>
              <w:rPr>
                <w:rFonts w:hint="eastAsia" w:eastAsia="宋体"/>
                <w:color w:val="000000"/>
                <w:sz w:val="18"/>
                <w:szCs w:val="18"/>
                <w:highlight w:val="none"/>
                <w:lang w:val="en-US" w:eastAsia="zh-CN"/>
              </w:rPr>
              <w:t>得3</w:t>
            </w:r>
            <w:r>
              <w:rPr>
                <w:rFonts w:hint="default" w:eastAsia="宋体"/>
                <w:color w:val="000000"/>
                <w:sz w:val="18"/>
                <w:szCs w:val="18"/>
                <w:highlight w:val="none"/>
                <w:lang w:val="en-US" w:eastAsia="zh-CN"/>
              </w:rPr>
              <w:t>分。</w:t>
            </w:r>
          </w:p>
          <w:p w14:paraId="5D4D6E4C">
            <w:pPr>
              <w:pStyle w:val="9"/>
              <w:keepNext w:val="0"/>
              <w:keepLines w:val="0"/>
              <w:pageBreakBefore w:val="0"/>
              <w:kinsoku/>
              <w:wordWrap/>
              <w:overflowPunct/>
              <w:topLinePunct w:val="0"/>
              <w:autoSpaceDE/>
              <w:autoSpaceDN/>
              <w:bidi w:val="0"/>
              <w:adjustRightInd/>
              <w:snapToGrid/>
              <w:spacing w:line="300" w:lineRule="exact"/>
              <w:ind w:left="0" w:leftChars="0" w:firstLine="0" w:firstLineChars="0"/>
              <w:jc w:val="both"/>
              <w:textAlignment w:val="auto"/>
              <w:rPr>
                <w:rFonts w:hint="default" w:eastAsia="宋体"/>
                <w:color w:val="000000"/>
                <w:sz w:val="18"/>
                <w:szCs w:val="18"/>
                <w:highlight w:val="none"/>
                <w:lang w:val="en-US" w:eastAsia="zh-CN"/>
              </w:rPr>
            </w:pPr>
            <w:r>
              <w:rPr>
                <w:rFonts w:hint="eastAsia" w:eastAsia="宋体"/>
                <w:color w:val="000000"/>
                <w:sz w:val="18"/>
                <w:szCs w:val="18"/>
                <w:highlight w:val="none"/>
                <w:lang w:val="en-US" w:eastAsia="zh-CN"/>
              </w:rPr>
              <w:t>注：提供以上证书或证明文件复印件并加盖投标人公章，否则不计分。</w:t>
            </w:r>
          </w:p>
        </w:tc>
      </w:tr>
      <w:tr w14:paraId="0E29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75" w:type="dxa"/>
            <w:vMerge w:val="continue"/>
            <w:shd w:val="clear" w:color="auto" w:fill="auto"/>
            <w:noWrap w:val="0"/>
            <w:vAlign w:val="center"/>
          </w:tcPr>
          <w:p w14:paraId="79057665">
            <w:pPr>
              <w:keepNext w:val="0"/>
              <w:keepLines w:val="0"/>
              <w:pageBreakBefore w:val="0"/>
              <w:widowControl/>
              <w:kinsoku/>
              <w:wordWrap/>
              <w:overflowPunct/>
              <w:topLinePunct w:val="0"/>
              <w:autoSpaceDE/>
              <w:autoSpaceDN/>
              <w:bidi w:val="0"/>
              <w:spacing w:line="300" w:lineRule="exact"/>
              <w:jc w:val="left"/>
              <w:textAlignment w:val="auto"/>
              <w:rPr>
                <w:rFonts w:ascii="宋体" w:hAnsi="宋体" w:cs="宋体"/>
                <w:color w:val="000000"/>
                <w:sz w:val="18"/>
                <w:szCs w:val="18"/>
                <w:highlight w:val="none"/>
              </w:rPr>
            </w:pPr>
          </w:p>
        </w:tc>
        <w:tc>
          <w:tcPr>
            <w:tcW w:w="950" w:type="dxa"/>
            <w:shd w:val="clear" w:color="auto" w:fill="auto"/>
            <w:noWrap w:val="0"/>
            <w:vAlign w:val="center"/>
          </w:tcPr>
          <w:p w14:paraId="5F60FF86">
            <w:pPr>
              <w:keepNext w:val="0"/>
              <w:keepLines w:val="0"/>
              <w:pageBreakBefore w:val="0"/>
              <w:kinsoku/>
              <w:wordWrap/>
              <w:overflowPunct/>
              <w:topLinePunct w:val="0"/>
              <w:autoSpaceDE/>
              <w:autoSpaceDN/>
              <w:bidi w:val="0"/>
              <w:adjustRightInd w:val="0"/>
              <w:snapToGrid w:val="0"/>
              <w:spacing w:before="156" w:beforeLines="50" w:line="300" w:lineRule="exact"/>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售后服务方案</w:t>
            </w:r>
          </w:p>
        </w:tc>
        <w:tc>
          <w:tcPr>
            <w:tcW w:w="702" w:type="dxa"/>
            <w:shd w:val="clear" w:color="auto" w:fill="FFFFFF"/>
            <w:noWrap w:val="0"/>
            <w:vAlign w:val="center"/>
          </w:tcPr>
          <w:p w14:paraId="0DFD0228">
            <w:pPr>
              <w:keepNext w:val="0"/>
              <w:keepLines w:val="0"/>
              <w:pageBreakBefore w:val="0"/>
              <w:kinsoku/>
              <w:wordWrap/>
              <w:overflowPunct/>
              <w:topLinePunct w:val="0"/>
              <w:autoSpaceDE/>
              <w:autoSpaceDN/>
              <w:bidi w:val="0"/>
              <w:adjustRightInd w:val="0"/>
              <w:snapToGrid w:val="0"/>
              <w:spacing w:before="156" w:beforeLines="50" w:line="300" w:lineRule="exact"/>
              <w:jc w:val="center"/>
              <w:textAlignment w:val="auto"/>
              <w:rPr>
                <w:rFonts w:hint="default"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20</w:t>
            </w:r>
          </w:p>
        </w:tc>
        <w:tc>
          <w:tcPr>
            <w:tcW w:w="6669" w:type="dxa"/>
            <w:shd w:val="clear" w:color="auto" w:fill="FFFFFF"/>
            <w:noWrap w:val="0"/>
            <w:vAlign w:val="top"/>
          </w:tcPr>
          <w:p w14:paraId="434A5C95">
            <w:pPr>
              <w:pStyle w:val="9"/>
              <w:keepNext w:val="0"/>
              <w:keepLines w:val="0"/>
              <w:pageBreakBefore w:val="0"/>
              <w:kinsoku/>
              <w:wordWrap/>
              <w:overflowPunct/>
              <w:topLinePunct w:val="0"/>
              <w:autoSpaceDE/>
              <w:autoSpaceDN/>
              <w:bidi w:val="0"/>
              <w:adjustRightInd/>
              <w:snapToGrid/>
              <w:spacing w:line="300" w:lineRule="exact"/>
              <w:ind w:left="0" w:leftChars="0" w:firstLine="0" w:firstLineChars="0"/>
              <w:jc w:val="both"/>
              <w:textAlignment w:val="auto"/>
              <w:rPr>
                <w:rFonts w:hint="eastAsia" w:eastAsia="宋体"/>
                <w:color w:val="000000"/>
                <w:sz w:val="18"/>
                <w:szCs w:val="18"/>
                <w:highlight w:val="none"/>
              </w:rPr>
            </w:pPr>
            <w:r>
              <w:rPr>
                <w:rFonts w:hint="eastAsia" w:eastAsia="宋体"/>
                <w:color w:val="000000"/>
                <w:sz w:val="18"/>
                <w:szCs w:val="18"/>
                <w:highlight w:val="none"/>
              </w:rPr>
              <w:t>根据投标人提供的售后服务措施和组织方案（含服务相关人员安排、质保期、服务响应时间、交货时间、优惠服务承诺）进行计分。方案完善、科学、合理的计20分，</w:t>
            </w:r>
            <w:r>
              <w:rPr>
                <w:rFonts w:hint="eastAsia" w:eastAsia="宋体"/>
                <w:color w:val="000000"/>
                <w:sz w:val="18"/>
                <w:szCs w:val="18"/>
                <w:highlight w:val="none"/>
                <w:lang w:val="en-US" w:eastAsia="zh-CN"/>
              </w:rPr>
              <w:t>方案不完善的，每处扣3分，有缺漏项或不合理处每处扣5分，扣完为止。</w:t>
            </w:r>
          </w:p>
        </w:tc>
      </w:tr>
      <w:tr w14:paraId="5EA8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875" w:type="dxa"/>
            <w:vMerge w:val="continue"/>
            <w:shd w:val="clear" w:color="auto" w:fill="auto"/>
            <w:noWrap w:val="0"/>
            <w:vAlign w:val="center"/>
          </w:tcPr>
          <w:p w14:paraId="240703CA">
            <w:pPr>
              <w:keepNext w:val="0"/>
              <w:keepLines w:val="0"/>
              <w:pageBreakBefore w:val="0"/>
              <w:widowControl/>
              <w:kinsoku/>
              <w:wordWrap/>
              <w:overflowPunct/>
              <w:topLinePunct w:val="0"/>
              <w:autoSpaceDE/>
              <w:autoSpaceDN/>
              <w:bidi w:val="0"/>
              <w:spacing w:line="300" w:lineRule="exact"/>
              <w:jc w:val="left"/>
              <w:textAlignment w:val="auto"/>
              <w:rPr>
                <w:rFonts w:ascii="宋体" w:hAnsi="宋体" w:cs="宋体"/>
                <w:color w:val="000000"/>
                <w:sz w:val="18"/>
                <w:szCs w:val="18"/>
                <w:highlight w:val="none"/>
              </w:rPr>
            </w:pPr>
          </w:p>
        </w:tc>
        <w:tc>
          <w:tcPr>
            <w:tcW w:w="950" w:type="dxa"/>
            <w:shd w:val="clear" w:color="auto" w:fill="auto"/>
            <w:noWrap w:val="0"/>
            <w:vAlign w:val="center"/>
          </w:tcPr>
          <w:p w14:paraId="3394D3B1">
            <w:pPr>
              <w:keepNext w:val="0"/>
              <w:keepLines w:val="0"/>
              <w:pageBreakBefore w:val="0"/>
              <w:kinsoku/>
              <w:wordWrap/>
              <w:overflowPunct/>
              <w:topLinePunct w:val="0"/>
              <w:autoSpaceDE/>
              <w:autoSpaceDN/>
              <w:bidi w:val="0"/>
              <w:adjustRightInd w:val="0"/>
              <w:snapToGrid w:val="0"/>
              <w:spacing w:before="156" w:beforeLines="50" w:line="300" w:lineRule="exact"/>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同类项目业绩</w:t>
            </w:r>
          </w:p>
        </w:tc>
        <w:tc>
          <w:tcPr>
            <w:tcW w:w="702" w:type="dxa"/>
            <w:shd w:val="clear" w:color="auto" w:fill="FFFFFF"/>
            <w:noWrap w:val="0"/>
            <w:vAlign w:val="center"/>
          </w:tcPr>
          <w:p w14:paraId="58D13446">
            <w:pPr>
              <w:keepNext w:val="0"/>
              <w:keepLines w:val="0"/>
              <w:pageBreakBefore w:val="0"/>
              <w:kinsoku/>
              <w:wordWrap/>
              <w:overflowPunct/>
              <w:topLinePunct w:val="0"/>
              <w:autoSpaceDE/>
              <w:autoSpaceDN/>
              <w:bidi w:val="0"/>
              <w:adjustRightInd w:val="0"/>
              <w:snapToGrid w:val="0"/>
              <w:spacing w:before="156" w:beforeLines="50" w:line="300" w:lineRule="exact"/>
              <w:jc w:val="center"/>
              <w:textAlignment w:val="auto"/>
              <w:rPr>
                <w:rFonts w:hint="default" w:ascii="宋体" w:hAnsi="宋体" w:eastAsia="宋体" w:cs="宋体"/>
                <w:color w:val="000000"/>
                <w:sz w:val="18"/>
                <w:szCs w:val="18"/>
                <w:highlight w:val="none"/>
                <w:lang w:val="en-US" w:eastAsia="zh-CN" w:bidi="ar"/>
              </w:rPr>
            </w:pPr>
            <w:r>
              <w:rPr>
                <w:rFonts w:hint="eastAsia" w:ascii="宋体" w:hAnsi="宋体" w:eastAsia="宋体" w:cs="宋体"/>
                <w:color w:val="000000"/>
                <w:sz w:val="18"/>
                <w:szCs w:val="18"/>
                <w:highlight w:val="none"/>
                <w:lang w:val="en-US" w:eastAsia="zh-CN" w:bidi="ar"/>
              </w:rPr>
              <w:t>1</w:t>
            </w:r>
            <w:r>
              <w:rPr>
                <w:rFonts w:hint="eastAsia" w:ascii="宋体" w:hAnsi="宋体" w:cs="宋体"/>
                <w:color w:val="000000"/>
                <w:sz w:val="18"/>
                <w:szCs w:val="18"/>
                <w:highlight w:val="none"/>
                <w:lang w:val="en-US" w:eastAsia="zh-CN" w:bidi="ar"/>
              </w:rPr>
              <w:t>0</w:t>
            </w:r>
          </w:p>
        </w:tc>
        <w:tc>
          <w:tcPr>
            <w:tcW w:w="6669" w:type="dxa"/>
            <w:shd w:val="clear" w:color="auto" w:fill="FFFFFF"/>
            <w:noWrap w:val="0"/>
            <w:vAlign w:val="top"/>
          </w:tcPr>
          <w:p w14:paraId="6D836D40">
            <w:pPr>
              <w:pStyle w:val="9"/>
              <w:keepNext w:val="0"/>
              <w:keepLines w:val="0"/>
              <w:pageBreakBefore w:val="0"/>
              <w:kinsoku/>
              <w:wordWrap/>
              <w:overflowPunct/>
              <w:topLinePunct w:val="0"/>
              <w:autoSpaceDE/>
              <w:autoSpaceDN/>
              <w:bidi w:val="0"/>
              <w:adjustRightInd/>
              <w:snapToGrid/>
              <w:spacing w:line="300" w:lineRule="exact"/>
              <w:ind w:left="0" w:leftChars="0" w:firstLine="0" w:firstLineChars="0"/>
              <w:jc w:val="both"/>
              <w:textAlignment w:val="auto"/>
              <w:rPr>
                <w:rFonts w:hint="eastAsia" w:eastAsia="宋体"/>
                <w:color w:val="000000"/>
                <w:sz w:val="18"/>
                <w:szCs w:val="18"/>
                <w:highlight w:val="none"/>
              </w:rPr>
            </w:pPr>
            <w:r>
              <w:rPr>
                <w:rFonts w:hint="eastAsia" w:eastAsia="宋体"/>
                <w:color w:val="000000"/>
                <w:sz w:val="18"/>
                <w:szCs w:val="18"/>
                <w:highlight w:val="none"/>
              </w:rPr>
              <w:t>由评委根据投标人提供的2020年1月1日</w:t>
            </w:r>
            <w:r>
              <w:rPr>
                <w:rFonts w:hint="eastAsia" w:eastAsia="宋体"/>
                <w:color w:val="000000"/>
                <w:sz w:val="18"/>
                <w:szCs w:val="18"/>
                <w:highlight w:val="none"/>
                <w:lang w:val="en-US" w:eastAsia="zh-CN"/>
              </w:rPr>
              <w:t>至投标截止日期</w:t>
            </w:r>
            <w:r>
              <w:rPr>
                <w:rFonts w:hint="eastAsia" w:eastAsia="宋体"/>
                <w:color w:val="000000"/>
                <w:sz w:val="18"/>
                <w:szCs w:val="18"/>
                <w:highlight w:val="none"/>
              </w:rPr>
              <w:t>以来签订同类项目业绩进行评定。每提供1个同类型项目业绩合同的得</w:t>
            </w:r>
            <w:r>
              <w:rPr>
                <w:rFonts w:hint="eastAsia"/>
                <w:color w:val="000000"/>
                <w:sz w:val="18"/>
                <w:szCs w:val="18"/>
                <w:highlight w:val="none"/>
                <w:lang w:val="en-US" w:eastAsia="zh-CN"/>
              </w:rPr>
              <w:t>2</w:t>
            </w:r>
            <w:r>
              <w:rPr>
                <w:rFonts w:hint="eastAsia" w:eastAsia="宋体"/>
                <w:color w:val="000000"/>
                <w:sz w:val="18"/>
                <w:szCs w:val="18"/>
                <w:highlight w:val="none"/>
              </w:rPr>
              <w:t>分，最高</w:t>
            </w:r>
            <w:r>
              <w:rPr>
                <w:rFonts w:hint="eastAsia"/>
                <w:color w:val="000000"/>
                <w:sz w:val="18"/>
                <w:szCs w:val="18"/>
                <w:highlight w:val="none"/>
                <w:lang w:val="en-US" w:eastAsia="zh-CN"/>
              </w:rPr>
              <w:t>10</w:t>
            </w:r>
            <w:r>
              <w:rPr>
                <w:rFonts w:hint="eastAsia" w:eastAsia="宋体"/>
                <w:color w:val="000000"/>
                <w:sz w:val="18"/>
                <w:szCs w:val="18"/>
                <w:highlight w:val="none"/>
              </w:rPr>
              <w:t>分。</w:t>
            </w:r>
          </w:p>
          <w:p w14:paraId="1CE34795">
            <w:pPr>
              <w:pStyle w:val="9"/>
              <w:keepNext w:val="0"/>
              <w:keepLines w:val="0"/>
              <w:pageBreakBefore w:val="0"/>
              <w:kinsoku/>
              <w:wordWrap/>
              <w:overflowPunct/>
              <w:topLinePunct w:val="0"/>
              <w:autoSpaceDE/>
              <w:autoSpaceDN/>
              <w:bidi w:val="0"/>
              <w:adjustRightInd/>
              <w:snapToGrid/>
              <w:spacing w:line="300" w:lineRule="exact"/>
              <w:ind w:left="0" w:leftChars="0" w:firstLine="0" w:firstLineChars="0"/>
              <w:jc w:val="both"/>
              <w:textAlignment w:val="auto"/>
              <w:rPr>
                <w:rFonts w:hint="eastAsia" w:eastAsia="宋体"/>
                <w:color w:val="000000"/>
                <w:sz w:val="18"/>
                <w:szCs w:val="18"/>
                <w:highlight w:val="none"/>
              </w:rPr>
            </w:pPr>
            <w:r>
              <w:rPr>
                <w:rFonts w:hint="eastAsia" w:eastAsia="宋体"/>
                <w:color w:val="000000"/>
                <w:sz w:val="18"/>
                <w:szCs w:val="18"/>
                <w:highlight w:val="none"/>
              </w:rPr>
              <w:t>（须提供合同关键页复印件，关键页包括体现合同标的、合同金额、签字盖章页，</w:t>
            </w:r>
            <w:r>
              <w:rPr>
                <w:rFonts w:hint="eastAsia" w:eastAsia="宋体"/>
                <w:color w:val="000000"/>
                <w:sz w:val="18"/>
                <w:szCs w:val="18"/>
                <w:highlight w:val="none"/>
                <w:lang w:val="en-US" w:eastAsia="zh-CN"/>
              </w:rPr>
              <w:t>否则不计分。</w:t>
            </w:r>
            <w:r>
              <w:rPr>
                <w:rFonts w:hint="eastAsia" w:eastAsia="宋体"/>
                <w:color w:val="000000"/>
                <w:sz w:val="18"/>
                <w:szCs w:val="18"/>
                <w:highlight w:val="none"/>
              </w:rPr>
              <w:t>）</w:t>
            </w:r>
          </w:p>
        </w:tc>
      </w:tr>
      <w:tr w14:paraId="60BB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8" w:hRule="atLeast"/>
        </w:trPr>
        <w:tc>
          <w:tcPr>
            <w:tcW w:w="875" w:type="dxa"/>
            <w:shd w:val="clear" w:color="auto" w:fill="auto"/>
            <w:noWrap w:val="0"/>
            <w:vAlign w:val="center"/>
          </w:tcPr>
          <w:p w14:paraId="7FE49036">
            <w:pPr>
              <w:keepNext w:val="0"/>
              <w:keepLines w:val="0"/>
              <w:pageBreakBefore w:val="0"/>
              <w:widowControl/>
              <w:kinsoku/>
              <w:wordWrap/>
              <w:overflowPunct/>
              <w:topLinePunct w:val="0"/>
              <w:autoSpaceDE/>
              <w:autoSpaceDN/>
              <w:bidi w:val="0"/>
              <w:spacing w:line="300" w:lineRule="exact"/>
              <w:jc w:val="center"/>
              <w:textAlignment w:val="auto"/>
              <w:rPr>
                <w:rFonts w:hint="eastAsia"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val="en-US" w:eastAsia="zh-CN"/>
              </w:rPr>
              <w:t>价格</w:t>
            </w:r>
          </w:p>
        </w:tc>
        <w:tc>
          <w:tcPr>
            <w:tcW w:w="950" w:type="dxa"/>
            <w:shd w:val="clear" w:color="auto" w:fill="auto"/>
            <w:noWrap w:val="0"/>
            <w:vAlign w:val="center"/>
          </w:tcPr>
          <w:p w14:paraId="2811199C">
            <w:pPr>
              <w:keepNext w:val="0"/>
              <w:keepLines w:val="0"/>
              <w:pageBreakBefore w:val="0"/>
              <w:kinsoku/>
              <w:wordWrap/>
              <w:overflowPunct/>
              <w:topLinePunct w:val="0"/>
              <w:autoSpaceDE/>
              <w:autoSpaceDN/>
              <w:bidi w:val="0"/>
              <w:spacing w:line="300" w:lineRule="exact"/>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cs="宋体"/>
                <w:color w:val="000000"/>
                <w:kern w:val="0"/>
                <w:szCs w:val="21"/>
              </w:rPr>
              <w:t>投标报价</w:t>
            </w:r>
          </w:p>
        </w:tc>
        <w:tc>
          <w:tcPr>
            <w:tcW w:w="702" w:type="dxa"/>
            <w:shd w:val="clear" w:color="auto" w:fill="FFFFFF"/>
            <w:noWrap w:val="0"/>
            <w:vAlign w:val="center"/>
          </w:tcPr>
          <w:p w14:paraId="2488EC71">
            <w:pPr>
              <w:keepNext w:val="0"/>
              <w:keepLines w:val="0"/>
              <w:pageBreakBefore w:val="0"/>
              <w:kinsoku/>
              <w:wordWrap/>
              <w:overflowPunct/>
              <w:topLinePunct w:val="0"/>
              <w:autoSpaceDE/>
              <w:autoSpaceDN/>
              <w:bidi w:val="0"/>
              <w:spacing w:line="300" w:lineRule="exact"/>
              <w:ind w:left="623" w:leftChars="0" w:hanging="623" w:hangingChars="297"/>
              <w:jc w:val="center"/>
              <w:textAlignment w:val="auto"/>
              <w:rPr>
                <w:rFonts w:hint="eastAsia" w:ascii="宋体" w:hAnsi="宋体" w:eastAsia="宋体" w:cs="宋体"/>
                <w:color w:val="000000"/>
                <w:sz w:val="18"/>
                <w:szCs w:val="18"/>
                <w:highlight w:val="none"/>
                <w:lang w:val="en-US" w:eastAsia="zh-CN" w:bidi="ar"/>
              </w:rPr>
            </w:pPr>
            <w:r>
              <w:rPr>
                <w:rFonts w:hint="eastAsia" w:ascii="宋体" w:hAnsi="宋体" w:cs="宋体"/>
                <w:color w:val="000000"/>
                <w:szCs w:val="21"/>
                <w:lang w:val="en-US" w:eastAsia="zh-CN"/>
              </w:rPr>
              <w:t>2</w:t>
            </w:r>
            <w:r>
              <w:rPr>
                <w:rFonts w:hint="eastAsia" w:ascii="宋体" w:hAnsi="宋体" w:cs="宋体"/>
                <w:color w:val="000000"/>
                <w:szCs w:val="21"/>
              </w:rPr>
              <w:t>0</w:t>
            </w:r>
          </w:p>
        </w:tc>
        <w:tc>
          <w:tcPr>
            <w:tcW w:w="6669" w:type="dxa"/>
            <w:shd w:val="clear" w:color="auto" w:fill="FFFFFF"/>
            <w:noWrap w:val="0"/>
            <w:vAlign w:val="top"/>
          </w:tcPr>
          <w:p w14:paraId="34CC8A48">
            <w:pPr>
              <w:pStyle w:val="4"/>
              <w:keepNext w:val="0"/>
              <w:keepLines w:val="0"/>
              <w:pageBreakBefore w:val="0"/>
              <w:kinsoku/>
              <w:wordWrap/>
              <w:overflowPunct/>
              <w:topLinePunct w:val="0"/>
              <w:autoSpaceDE/>
              <w:autoSpaceDN/>
              <w:bidi w:val="0"/>
              <w:spacing w:after="0" w:line="300" w:lineRule="exact"/>
              <w:textAlignment w:val="auto"/>
              <w:rPr>
                <w:rFonts w:ascii="宋体" w:hAnsi="宋体"/>
                <w:sz w:val="21"/>
                <w:szCs w:val="21"/>
              </w:rPr>
            </w:pPr>
            <w:r>
              <w:rPr>
                <w:rFonts w:hint="eastAsia" w:ascii="宋体" w:hAnsi="宋体"/>
                <w:sz w:val="21"/>
                <w:szCs w:val="21"/>
              </w:rPr>
              <w:t>1.以所有通过资格性和符合性审查合格的供应商投标报价（均指评审后投标报价）的算术平均值为评标基准价；</w:t>
            </w:r>
          </w:p>
          <w:p w14:paraId="1CE8B67F">
            <w:pPr>
              <w:pStyle w:val="4"/>
              <w:keepNext w:val="0"/>
              <w:keepLines w:val="0"/>
              <w:pageBreakBefore w:val="0"/>
              <w:kinsoku/>
              <w:wordWrap/>
              <w:overflowPunct/>
              <w:topLinePunct w:val="0"/>
              <w:autoSpaceDE/>
              <w:autoSpaceDN/>
              <w:bidi w:val="0"/>
              <w:spacing w:after="0" w:line="300" w:lineRule="exact"/>
              <w:textAlignment w:val="auto"/>
              <w:rPr>
                <w:rFonts w:ascii="宋体" w:hAnsi="宋体"/>
                <w:sz w:val="21"/>
                <w:szCs w:val="21"/>
              </w:rPr>
            </w:pPr>
            <w:r>
              <w:rPr>
                <w:rFonts w:ascii="宋体" w:hAnsi="宋体"/>
                <w:sz w:val="21"/>
                <w:szCs w:val="21"/>
              </w:rPr>
              <w:t>2</w:t>
            </w:r>
            <w:r>
              <w:rPr>
                <w:rFonts w:hint="eastAsia" w:ascii="宋体" w:hAnsi="宋体"/>
                <w:sz w:val="21"/>
                <w:szCs w:val="21"/>
              </w:rPr>
              <w:t>.供应商的价格得分按以下公式计算：</w:t>
            </w:r>
          </w:p>
          <w:p w14:paraId="4C8F6C8B">
            <w:pPr>
              <w:pStyle w:val="4"/>
              <w:keepNext w:val="0"/>
              <w:keepLines w:val="0"/>
              <w:pageBreakBefore w:val="0"/>
              <w:kinsoku/>
              <w:wordWrap/>
              <w:overflowPunct/>
              <w:topLinePunct w:val="0"/>
              <w:autoSpaceDE/>
              <w:autoSpaceDN/>
              <w:bidi w:val="0"/>
              <w:spacing w:after="0" w:line="300" w:lineRule="exact"/>
              <w:ind w:firstLine="210" w:firstLineChars="100"/>
              <w:textAlignment w:val="auto"/>
              <w:rPr>
                <w:rFonts w:ascii="宋体" w:hAnsi="宋体"/>
                <w:sz w:val="21"/>
                <w:szCs w:val="21"/>
              </w:rPr>
            </w:pPr>
            <w:r>
              <w:rPr>
                <w:rFonts w:hint="eastAsia" w:ascii="宋体" w:hAnsi="宋体"/>
                <w:sz w:val="21"/>
                <w:szCs w:val="21"/>
              </w:rPr>
              <w:t>投标报价=评标基准价，计</w:t>
            </w:r>
            <w:r>
              <w:rPr>
                <w:rFonts w:hint="eastAsia" w:ascii="宋体" w:hAnsi="宋体"/>
                <w:sz w:val="21"/>
                <w:szCs w:val="21"/>
                <w:lang w:val="en-US" w:eastAsia="zh-CN"/>
              </w:rPr>
              <w:t>2</w:t>
            </w:r>
            <w:r>
              <w:rPr>
                <w:rFonts w:ascii="宋体" w:hAnsi="宋体"/>
                <w:sz w:val="21"/>
                <w:szCs w:val="21"/>
              </w:rPr>
              <w:t>0</w:t>
            </w:r>
            <w:r>
              <w:rPr>
                <w:rFonts w:hint="eastAsia" w:ascii="宋体" w:hAnsi="宋体"/>
                <w:sz w:val="21"/>
                <w:szCs w:val="21"/>
              </w:rPr>
              <w:t>分；</w:t>
            </w:r>
          </w:p>
          <w:p w14:paraId="31AB3A2E">
            <w:pPr>
              <w:pStyle w:val="4"/>
              <w:keepNext w:val="0"/>
              <w:keepLines w:val="0"/>
              <w:pageBreakBefore w:val="0"/>
              <w:kinsoku/>
              <w:wordWrap/>
              <w:overflowPunct/>
              <w:topLinePunct w:val="0"/>
              <w:autoSpaceDE/>
              <w:autoSpaceDN/>
              <w:bidi w:val="0"/>
              <w:spacing w:after="0" w:line="300" w:lineRule="exact"/>
              <w:ind w:firstLine="210" w:firstLineChars="100"/>
              <w:textAlignment w:val="auto"/>
              <w:rPr>
                <w:rFonts w:ascii="宋体" w:hAnsi="宋体"/>
                <w:sz w:val="21"/>
                <w:szCs w:val="21"/>
              </w:rPr>
            </w:pPr>
            <w:r>
              <w:rPr>
                <w:rFonts w:hint="eastAsia" w:ascii="宋体" w:hAnsi="宋体"/>
                <w:sz w:val="21"/>
                <w:szCs w:val="21"/>
              </w:rPr>
              <w:t>投标报价＞评标基准价，报价得分=</w:t>
            </w:r>
            <w:r>
              <w:rPr>
                <w:rFonts w:hint="eastAsia" w:ascii="宋体" w:hAnsi="宋体"/>
                <w:sz w:val="21"/>
                <w:szCs w:val="21"/>
                <w:lang w:val="en-US" w:eastAsia="zh-CN"/>
              </w:rPr>
              <w:t>2</w:t>
            </w:r>
            <w:r>
              <w:rPr>
                <w:rFonts w:hint="eastAsia" w:ascii="宋体" w:hAnsi="宋体"/>
                <w:sz w:val="21"/>
                <w:szCs w:val="21"/>
              </w:rPr>
              <w:t>0-</w:t>
            </w:r>
            <w:r>
              <w:rPr>
                <w:rFonts w:hint="eastAsia" w:ascii="宋体" w:hAnsi="宋体"/>
                <w:sz w:val="21"/>
                <w:szCs w:val="21"/>
                <w:lang w:val="en-US" w:eastAsia="zh-CN"/>
              </w:rPr>
              <w:t>2</w:t>
            </w:r>
            <w:r>
              <w:rPr>
                <w:rFonts w:hint="eastAsia" w:ascii="宋体" w:hAnsi="宋体"/>
                <w:sz w:val="21"/>
                <w:szCs w:val="21"/>
              </w:rPr>
              <w:t>0X；</w:t>
            </w:r>
          </w:p>
          <w:p w14:paraId="60251E60">
            <w:pPr>
              <w:pStyle w:val="4"/>
              <w:keepNext w:val="0"/>
              <w:keepLines w:val="0"/>
              <w:pageBreakBefore w:val="0"/>
              <w:kinsoku/>
              <w:wordWrap/>
              <w:overflowPunct/>
              <w:topLinePunct w:val="0"/>
              <w:autoSpaceDE/>
              <w:autoSpaceDN/>
              <w:bidi w:val="0"/>
              <w:spacing w:after="0" w:line="300" w:lineRule="exact"/>
              <w:ind w:firstLine="210" w:firstLineChars="100"/>
              <w:textAlignment w:val="auto"/>
              <w:rPr>
                <w:rFonts w:ascii="宋体" w:hAnsi="宋体"/>
                <w:sz w:val="21"/>
                <w:szCs w:val="21"/>
              </w:rPr>
            </w:pPr>
            <w:r>
              <w:rPr>
                <w:rFonts w:hint="eastAsia" w:ascii="宋体" w:hAnsi="宋体"/>
                <w:sz w:val="21"/>
                <w:szCs w:val="21"/>
              </w:rPr>
              <w:t>投标报价＜评标基准价，报价得分</w:t>
            </w:r>
            <w:r>
              <w:rPr>
                <w:rFonts w:ascii="宋体" w:hAnsi="宋体"/>
                <w:sz w:val="21"/>
                <w:szCs w:val="21"/>
              </w:rPr>
              <w:t>=</w:t>
            </w:r>
            <w:r>
              <w:rPr>
                <w:rFonts w:hint="eastAsia" w:ascii="宋体" w:hAnsi="宋体"/>
                <w:sz w:val="21"/>
                <w:szCs w:val="21"/>
                <w:lang w:val="en-US" w:eastAsia="zh-CN"/>
              </w:rPr>
              <w:t>2</w:t>
            </w:r>
            <w:r>
              <w:rPr>
                <w:rFonts w:hint="eastAsia" w:ascii="宋体" w:hAnsi="宋体"/>
                <w:sz w:val="21"/>
                <w:szCs w:val="21"/>
              </w:rPr>
              <w:t>0-</w:t>
            </w:r>
            <w:r>
              <w:rPr>
                <w:rFonts w:hint="eastAsia" w:ascii="宋体" w:hAnsi="宋体"/>
                <w:sz w:val="21"/>
                <w:szCs w:val="21"/>
                <w:lang w:val="en-US" w:eastAsia="zh-CN"/>
              </w:rPr>
              <w:t>2</w:t>
            </w:r>
            <w:r>
              <w:rPr>
                <w:rFonts w:hint="eastAsia" w:ascii="宋体" w:hAnsi="宋体"/>
                <w:sz w:val="21"/>
                <w:szCs w:val="21"/>
              </w:rPr>
              <w:t>0X。</w:t>
            </w:r>
          </w:p>
          <w:p w14:paraId="6745102E">
            <w:pPr>
              <w:pStyle w:val="4"/>
              <w:keepNext w:val="0"/>
              <w:keepLines w:val="0"/>
              <w:pageBreakBefore w:val="0"/>
              <w:kinsoku/>
              <w:wordWrap/>
              <w:overflowPunct/>
              <w:topLinePunct w:val="0"/>
              <w:autoSpaceDE/>
              <w:autoSpaceDN/>
              <w:bidi w:val="0"/>
              <w:spacing w:after="0" w:line="300" w:lineRule="exact"/>
              <w:ind w:firstLine="210" w:firstLineChars="100"/>
              <w:textAlignment w:val="auto"/>
              <w:rPr>
                <w:rFonts w:ascii="宋体" w:hAnsi="宋体"/>
                <w:sz w:val="21"/>
                <w:szCs w:val="21"/>
              </w:rPr>
            </w:pPr>
            <w:r>
              <w:rPr>
                <w:rFonts w:hint="eastAsia" w:ascii="宋体" w:hAnsi="宋体"/>
                <w:sz w:val="21"/>
                <w:szCs w:val="21"/>
              </w:rPr>
              <w:t>X为投标报价升、降率百分点数的绝对值，即</w:t>
            </w:r>
          </w:p>
          <w:p w14:paraId="2B9AE123">
            <w:pPr>
              <w:pStyle w:val="4"/>
              <w:keepNext w:val="0"/>
              <w:keepLines w:val="0"/>
              <w:pageBreakBefore w:val="0"/>
              <w:kinsoku/>
              <w:wordWrap/>
              <w:overflowPunct/>
              <w:topLinePunct w:val="0"/>
              <w:autoSpaceDE/>
              <w:autoSpaceDN/>
              <w:bidi w:val="0"/>
              <w:spacing w:after="0" w:line="300" w:lineRule="exact"/>
              <w:ind w:firstLine="210" w:firstLineChars="100"/>
              <w:textAlignment w:val="auto"/>
              <w:rPr>
                <w:rFonts w:ascii="宋体" w:hAnsi="宋体"/>
                <w:sz w:val="21"/>
                <w:szCs w:val="21"/>
              </w:rPr>
            </w:pPr>
            <w:r>
              <w:rPr>
                <w:rFonts w:hint="eastAsia" w:ascii="宋体" w:hAnsi="宋体"/>
                <w:sz w:val="21"/>
                <w:szCs w:val="21"/>
              </w:rPr>
              <w:t>X=∣（投标报价—评标基准价）/评标基准价∣×100%</w:t>
            </w:r>
          </w:p>
          <w:p w14:paraId="17074703">
            <w:pPr>
              <w:keepNext w:val="0"/>
              <w:keepLines w:val="0"/>
              <w:pageBreakBefore w:val="0"/>
              <w:kinsoku/>
              <w:wordWrap/>
              <w:overflowPunct/>
              <w:topLinePunct w:val="0"/>
              <w:autoSpaceDE/>
              <w:autoSpaceDN/>
              <w:bidi w:val="0"/>
              <w:spacing w:line="300" w:lineRule="exact"/>
              <w:textAlignment w:val="auto"/>
              <w:rPr>
                <w:rFonts w:hint="eastAsia" w:eastAsia="宋体"/>
                <w:color w:val="000000"/>
                <w:sz w:val="18"/>
                <w:szCs w:val="18"/>
                <w:highlight w:val="none"/>
              </w:rPr>
            </w:pPr>
            <w:r>
              <w:rPr>
                <w:rFonts w:hint="eastAsia" w:ascii="宋体" w:hAnsi="宋体" w:cs="宋体"/>
                <w:color w:val="000000"/>
                <w:szCs w:val="21"/>
              </w:rPr>
              <w:t>3</w:t>
            </w:r>
            <w:r>
              <w:rPr>
                <w:rFonts w:ascii="宋体" w:hAnsi="宋体" w:cs="宋体"/>
                <w:color w:val="000000"/>
                <w:szCs w:val="21"/>
              </w:rPr>
              <w:t>.</w:t>
            </w:r>
            <w:r>
              <w:rPr>
                <w:rFonts w:hint="eastAsia" w:ascii="宋体" w:hAnsi="宋体" w:cs="宋体"/>
                <w:color w:val="000000"/>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投标无效处理。</w:t>
            </w:r>
          </w:p>
        </w:tc>
      </w:tr>
      <w:tr w14:paraId="3440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96" w:type="dxa"/>
            <w:gridSpan w:val="4"/>
            <w:noWrap w:val="0"/>
            <w:vAlign w:val="center"/>
          </w:tcPr>
          <w:p w14:paraId="2FFD02BE">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hint="eastAsia"/>
                <w:color w:val="000000"/>
                <w:sz w:val="18"/>
                <w:szCs w:val="18"/>
                <w:highlight w:val="none"/>
              </w:rPr>
            </w:pPr>
            <w:r>
              <w:rPr>
                <w:rFonts w:hint="eastAsia"/>
                <w:b/>
                <w:bCs/>
                <w:color w:val="000000"/>
                <w:sz w:val="18"/>
                <w:szCs w:val="18"/>
                <w:highlight w:val="none"/>
              </w:rPr>
              <w:t>除特殊情况，</w:t>
            </w:r>
            <w:r>
              <w:rPr>
                <w:rFonts w:hint="eastAsia"/>
                <w:b/>
                <w:bCs/>
                <w:color w:val="000000"/>
                <w:sz w:val="18"/>
                <w:szCs w:val="18"/>
                <w:highlight w:val="none"/>
                <w:lang w:eastAsia="zh-CN"/>
              </w:rPr>
              <w:t>比选小组</w:t>
            </w:r>
            <w:r>
              <w:rPr>
                <w:rFonts w:hint="eastAsia"/>
                <w:b/>
                <w:bCs/>
                <w:color w:val="000000"/>
                <w:sz w:val="18"/>
                <w:szCs w:val="18"/>
                <w:highlight w:val="none"/>
              </w:rPr>
              <w:t>将确定总分最高的投标人为中标人，对未中标的投标人，招标人不作任何解释。</w:t>
            </w:r>
          </w:p>
        </w:tc>
      </w:tr>
    </w:tbl>
    <w:p w14:paraId="690332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95AB9"/>
    <w:rsid w:val="47295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kern w:val="0"/>
      <w:sz w:val="32"/>
      <w:szCs w:val="32"/>
    </w:rPr>
  </w:style>
  <w:style w:type="paragraph" w:styleId="3">
    <w:name w:val="heading 7"/>
    <w:basedOn w:val="1"/>
    <w:next w:val="1"/>
    <w:qFormat/>
    <w:uiPriority w:val="0"/>
    <w:pPr>
      <w:keepNext/>
      <w:keepLines/>
      <w:widowControl/>
      <w:spacing w:before="240" w:beforeLines="0" w:after="64" w:afterLines="0" w:line="317" w:lineRule="auto"/>
      <w:ind w:left="-1320"/>
      <w:jc w:val="left"/>
      <w:outlineLvl w:val="6"/>
    </w:pPr>
    <w:rPr>
      <w:rFonts w:ascii="Arial" w:hAnsi="Arial"/>
      <w:b/>
      <w:color w:val="000000"/>
      <w:kern w:val="0"/>
      <w:sz w:val="28"/>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kern w:val="0"/>
      <w:sz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列出段落1"/>
    <w:basedOn w:val="10"/>
    <w:next w:val="3"/>
    <w:autoRedefine/>
    <w:qFormat/>
    <w:uiPriority w:val="34"/>
    <w:pPr>
      <w:ind w:firstLine="420" w:firstLineChars="200"/>
    </w:pPr>
    <w:rPr>
      <w:rFonts w:ascii="Calibri" w:hAnsi="Calibri"/>
      <w:szCs w:val="22"/>
    </w:rPr>
  </w:style>
  <w:style w:type="paragraph" w:customStyle="1" w:styleId="10">
    <w:name w:val="正文_10_43"/>
    <w:autoRedefine/>
    <w:unhideWhenUsed/>
    <w:qFormat/>
    <w:uiPriority w:val="0"/>
    <w:pPr>
      <w:widowControl w:val="0"/>
      <w:spacing w:beforeLines="0" w:afterLines="0"/>
      <w:jc w:val="both"/>
    </w:pPr>
    <w:rPr>
      <w:rFonts w:hint="default"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2025-06-19T07:29:00Z</dcterms:created>
  <dc:creator>廖福振</dc:creator>
  <cp:lastModifiedBy>廖福振</cp:lastModifiedBy>
  <dcterms:modified xsi:type="dcterms:W3CDTF">2025-06-19T07:32:55Z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9155ABD97C02462BA262125709EC5265_11</vt:lpwstr>
  </property>
  <property fmtid="{D5CDD505-2E9C-101B-9397-08002B2CF9AE}" pid="4" name="KSOTemplateDocerSaveRecord">
    <vt:lpwstr>eyJoZGlkIjoiNzk4ZDRiYTY2MGZmZTcwZDBkM2Y1YTA1NzY1NTM5ZDIiLCJ1c2VySWQiOiIxNjY5MTg0OTQ3In0=</vt:lpwstr>
  </property>
</Properties>
</file>